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left"/>
        <w:spacing w:line="52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747"/>
        <w:ind w:firstLine="560"/>
        <w:spacing w:line="520" w:lineRule="exact"/>
        <w:rPr>
          <w:rFonts w:ascii="仿宋_GB2312" w:hAnsi="仿宋_GB2312" w:eastAsia="仿宋_GB2312" w:cs="仿宋_GB2312"/>
          <w:sz w:val="28"/>
        </w:rPr>
      </w:pPr>
      <w:r>
        <w:rPr>
          <w:rFonts w:ascii="仿宋_GB2312" w:hAnsi="仿宋_GB2312" w:eastAsia="仿宋_GB2312" w:cs="仿宋_GB2312"/>
          <w:sz w:val="28"/>
        </w:rPr>
      </w:r>
      <w:r/>
    </w:p>
    <w:p>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竞争性磋商文件</w:t>
      </w:r>
      <w:r/>
    </w:p>
    <w:p>
      <w:pPr>
        <w:pStyle w:val="747"/>
        <w:ind w:firstLine="562"/>
        <w:spacing w:line="520" w:lineRule="exact"/>
        <w:rPr>
          <w:rFonts w:ascii="仿宋_GB2312" w:hAnsi="仿宋_GB2312" w:eastAsia="仿宋_GB2312" w:cs="仿宋_GB2312"/>
          <w:b/>
          <w:sz w:val="28"/>
        </w:rPr>
      </w:pPr>
      <w:r>
        <w:rPr>
          <w:rFonts w:ascii="仿宋_GB2312" w:hAnsi="仿宋_GB2312" w:eastAsia="仿宋_GB2312" w:cs="仿宋_GB2312"/>
          <w:b/>
          <w:sz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jc w:val="center"/>
        <w:spacing w:line="360" w:lineRule="auto"/>
        <w:rPr>
          <w:rFonts w:ascii="楷体" w:hAnsi="楷体" w:eastAsia="楷体" w:cs="仿宋"/>
          <w:b/>
          <w:bCs/>
          <w:sz w:val="36"/>
          <w:szCs w:val="36"/>
        </w:rPr>
      </w:pPr>
      <w:r>
        <w:rPr>
          <w:rFonts w:hint="eastAsia" w:ascii="楷体" w:hAnsi="楷体" w:eastAsia="楷体"/>
          <w:b/>
          <w:bCs/>
          <w:color w:val="000000"/>
          <w:sz w:val="36"/>
        </w:rPr>
        <w:t xml:space="preserve">项目名称：</w:t>
      </w:r>
      <w:r>
        <w:rPr>
          <w:rFonts w:hint="eastAsia" w:ascii="楷体" w:hAnsi="楷体" w:eastAsia="楷体" w:cs="仿宋"/>
          <w:b/>
          <w:bCs/>
          <w:sz w:val="36"/>
          <w:szCs w:val="36"/>
        </w:rPr>
        <w:t xml:space="preserve">兴化市财政局网络安全等级保护整改</w:t>
      </w:r>
      <w:r/>
    </w:p>
    <w:p>
      <w:pPr>
        <w:ind w:left="945" w:firstLine="361"/>
        <w:jc w:val="left"/>
        <w:spacing w:after="287"/>
        <w:rPr>
          <w:rFonts w:ascii="楷体" w:hAnsi="楷体" w:eastAsia="楷体"/>
          <w:b/>
          <w:bCs/>
          <w:sz w:val="36"/>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rPr>
        <w:t xml:space="preserve">JSZC-321281-JZCG-C2025-0019</w:t>
      </w:r>
      <w:r/>
    </w:p>
    <w:p>
      <w:pPr>
        <w:ind w:left="945" w:firstLine="361"/>
        <w:jc w:val="left"/>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color w:val="000000"/>
          <w:sz w:val="36"/>
        </w:rPr>
        <w:t xml:space="preserve">兴化市财政局</w:t>
      </w:r>
      <w:r/>
    </w:p>
    <w:p>
      <w:pPr>
        <w:ind w:firstLine="2530"/>
        <w:spacing w:after="287"/>
        <w:rPr>
          <w:rFonts w:ascii="楷体" w:hAnsi="楷体" w:eastAsia="楷体"/>
          <w:b/>
          <w:bCs/>
          <w:sz w:val="36"/>
        </w:rPr>
      </w:pPr>
      <w:r>
        <w:rPr>
          <w:rFonts w:ascii="楷体" w:hAnsi="楷体" w:eastAsia="楷体"/>
          <w:b/>
          <w:bCs/>
          <w:sz w:val="36"/>
        </w:rPr>
      </w:r>
      <w:r/>
    </w:p>
    <w:p>
      <w:pPr>
        <w:jc w:val="center"/>
        <w:spacing w:after="287"/>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rPr>
          <w:rFonts w:ascii="仿宋_GB2312" w:eastAsia="仿宋_GB2312"/>
          <w:color w:val="000000"/>
          <w:sz w:val="36"/>
        </w:rPr>
      </w:pPr>
      <w:r>
        <w:rPr>
          <w:rFonts w:ascii="仿宋_GB2312" w:eastAsia="仿宋_GB2312"/>
          <w:color w:val="000000"/>
          <w:sz w:val="36"/>
        </w:rPr>
      </w:r>
      <w:r/>
    </w:p>
    <w:p>
      <w:pPr>
        <w:pStyle w:val="777"/>
        <w:ind w:firstLine="982"/>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777"/>
        <w:ind w:firstLine="0"/>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江苏省兴化市政务服务中心</w:t>
      </w:r>
      <w:r/>
    </w:p>
    <w:p>
      <w:pPr>
        <w:jc w:val="center"/>
        <w:spacing w:line="520" w:lineRule="exact"/>
        <w:rPr>
          <w:rFonts w:ascii="仿宋_GB2312" w:hAnsi="仿宋_GB2312" w:eastAsia="仿宋_GB2312" w:cs="仿宋_GB2312"/>
          <w:sz w:val="28"/>
          <w:szCs w:val="28"/>
        </w:rPr>
      </w:pPr>
      <w:r>
        <w:rPr>
          <w:rFonts w:hint="eastAsia" w:ascii="黑体" w:hAnsi="Century Schoolbook" w:eastAsia="黑体"/>
          <w:color w:val="000000"/>
          <w:sz w:val="36"/>
          <w:szCs w:val="20"/>
        </w:rPr>
        <w:t xml:space="preserve">二○二五年十月</w:t>
      </w:r>
      <w:r/>
    </w:p>
    <w:p>
      <w:pPr>
        <w:ind w:firstLine="560"/>
        <w:jc w:val="center"/>
        <w:spacing w:line="520" w:lineRule="exact"/>
        <w:rPr>
          <w:rFonts w:ascii="仿宋_GB2312" w:hAnsi="仿宋_GB2312" w:eastAsia="仿宋_GB2312" w:cs="仿宋_GB2312"/>
          <w:sz w:val="28"/>
          <w:szCs w:val="28"/>
        </w:rPr>
        <w:outlineLvl w:val="0"/>
      </w:pPr>
      <w:r>
        <w:rPr>
          <w:rFonts w:hint="eastAsia" w:ascii="仿宋_GB2312" w:hAnsi="仿宋_GB2312" w:eastAsia="仿宋_GB2312" w:cs="仿宋_GB2312"/>
          <w:sz w:val="28"/>
          <w:szCs w:val="28"/>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
    </w:p>
    <w:p>
      <w:pPr>
        <w:jc w:val="center"/>
        <w:rPr>
          <w:rFonts w:ascii="方正小标宋_GBK" w:hAnsi="方正小标宋_GBK" w:eastAsia="方正小标宋_GBK" w:cs="方正小标宋_GBK"/>
          <w:bCs/>
          <w:sz w:val="36"/>
          <w:szCs w:val="36"/>
        </w:rPr>
      </w:pPr>
      <w:r>
        <w:rPr>
          <w:rFonts w:hint="eastAsia" w:ascii="方正小标宋_GBK" w:hAnsi="方正小标宋_GBK" w:eastAsia="方正小标宋_GBK" w:cs="方正小标宋_GBK"/>
          <w:bCs/>
          <w:sz w:val="36"/>
          <w:szCs w:val="36"/>
        </w:rPr>
        <w:t xml:space="preserve"> 兴化市政府采购不见面交易相关提醒</w:t>
      </w:r>
      <w:r/>
    </w:p>
    <w:p>
      <w:pPr>
        <w:spacing w:line="520" w:lineRule="exact"/>
        <w:rPr>
          <w:rFonts w:cs="宋体" w:asciiTheme="minorEastAsia" w:hAnsiTheme="minorEastAsia" w:eastAsiaTheme="minorEastAsia"/>
          <w:b/>
          <w:bCs/>
          <w:spacing w:val="-3"/>
          <w:szCs w:val="21"/>
        </w:rPr>
      </w:pPr>
      <w:r>
        <w:rPr>
          <w:rFonts w:hint="eastAsia" w:cs="宋体" w:asciiTheme="minorEastAsia" w:hAnsiTheme="minorEastAsia" w:eastAsiaTheme="minorEastAsia"/>
          <w:b/>
          <w:bCs/>
          <w:szCs w:val="21"/>
        </w:rPr>
        <w:t xml:space="preserve">1、政府</w:t>
      </w:r>
      <w:r>
        <w:rPr>
          <w:rFonts w:hint="eastAsia" w:cs="宋体" w:asciiTheme="minorEastAsia" w:hAnsiTheme="minorEastAsia" w:eastAsiaTheme="minorEastAsia"/>
          <w:b/>
          <w:bCs/>
          <w:szCs w:val="21"/>
        </w:rPr>
        <w:t xml:space="preserve">采购线上合同</w:t>
      </w:r>
      <w:r>
        <w:rPr>
          <w:rFonts w:hint="eastAsia" w:cs="宋体" w:asciiTheme="minorEastAsia" w:hAnsiTheme="minorEastAsia" w:eastAsiaTheme="minorEastAsia"/>
          <w:b/>
          <w:bCs/>
          <w:szCs w:val="21"/>
        </w:rPr>
        <w:t xml:space="preserve">信用融资功能告知提醒</w:t>
      </w:r>
      <w:r/>
    </w:p>
    <w:p>
      <w:pPr>
        <w:ind w:firstLine="562"/>
        <w:spacing w:line="400" w:lineRule="exact"/>
        <w:rPr>
          <w:rFonts w:cs="仿宋" w:asciiTheme="minorEastAsia" w:hAnsiTheme="minorEastAsia" w:eastAsiaTheme="minorEastAsia"/>
          <w:spacing w:val="1"/>
          <w:szCs w:val="21"/>
        </w:rPr>
      </w:pPr>
      <w:r>
        <w:rPr>
          <w:rFonts w:hint="eastAsia" w:cs="仿宋" w:asciiTheme="minorEastAsia" w:hAnsiTheme="minorEastAsia" w:eastAsiaTheme="minorEastAsia"/>
          <w:spacing w:val="1"/>
          <w:szCs w:val="21"/>
        </w:rPr>
        <w:t xml:space="preserve">今年我市已正式启用“苏</w:t>
      </w:r>
      <w:r>
        <w:rPr>
          <w:rFonts w:hint="eastAsia" w:cs="仿宋" w:asciiTheme="minorEastAsia" w:hAnsiTheme="minorEastAsia" w:eastAsiaTheme="minorEastAsia"/>
          <w:spacing w:val="1"/>
          <w:szCs w:val="21"/>
        </w:rPr>
        <w:t xml:space="preserve">采云</w:t>
      </w:r>
      <w:r>
        <w:rPr>
          <w:rFonts w:hint="eastAsia" w:cs="仿宋" w:asciiTheme="minorEastAsia" w:hAnsiTheme="minorEastAsia" w:eastAsiaTheme="minorEastAsia"/>
          <w:spacing w:val="1"/>
          <w:szCs w:val="21"/>
        </w:rPr>
        <w:t xml:space="preserve">”系统，目前已全面开</w:t>
      </w:r>
      <w:r>
        <w:rPr>
          <w:rFonts w:hint="eastAsia" w:cs="仿宋" w:asciiTheme="minorEastAsia" w:hAnsiTheme="minorEastAsia" w:eastAsiaTheme="minorEastAsia"/>
          <w:spacing w:val="11"/>
          <w:szCs w:val="21"/>
        </w:rPr>
        <w:t xml:space="preserve">通</w:t>
      </w:r>
      <w:r>
        <w:rPr>
          <w:rFonts w:hint="eastAsia" w:cs="仿宋" w:asciiTheme="minorEastAsia" w:hAnsiTheme="minorEastAsia" w:eastAsiaTheme="minorEastAsia"/>
          <w:spacing w:val="1"/>
          <w:szCs w:val="21"/>
        </w:rPr>
        <w:t xml:space="preserve">政府</w:t>
      </w:r>
      <w:r>
        <w:rPr>
          <w:rFonts w:hint="eastAsia" w:cs="仿宋" w:asciiTheme="minorEastAsia" w:hAnsiTheme="minorEastAsia" w:eastAsiaTheme="minorEastAsia"/>
          <w:spacing w:val="1"/>
          <w:szCs w:val="21"/>
        </w:rPr>
        <w:t xml:space="preserve">采购线上合同</w:t>
      </w:r>
      <w:r>
        <w:rPr>
          <w:rFonts w:hint="eastAsia" w:cs="仿宋" w:asciiTheme="minorEastAsia" w:hAnsiTheme="minorEastAsia" w:eastAsiaTheme="minorEastAsia"/>
          <w:spacing w:val="1"/>
          <w:szCs w:val="21"/>
        </w:rPr>
        <w:t xml:space="preserve">信用融资（以下简称“政采贷”）功能。成交供应商可凭政府采购合同在中征平台发起贷款申请贷款。</w:t>
      </w:r>
      <w:r/>
    </w:p>
    <w:p>
      <w:pPr>
        <w:pStyle w:val="777"/>
        <w:ind w:left="640"/>
        <w:spacing w:line="400" w:lineRule="exact"/>
        <w:rPr>
          <w:rFonts w:cs="仿宋" w:asciiTheme="minorEastAsia" w:hAnsiTheme="minorEastAsia" w:eastAsiaTheme="minorEastAsia"/>
          <w:b/>
          <w:bCs/>
          <w:szCs w:val="21"/>
        </w:rPr>
      </w:pPr>
      <w:r>
        <w:rPr>
          <w:rFonts w:hint="eastAsia" w:cs="仿宋" w:asciiTheme="minorEastAsia" w:hAnsiTheme="minorEastAsia" w:eastAsiaTheme="minorEastAsia"/>
          <w:b/>
          <w:bCs/>
          <w:szCs w:val="21"/>
        </w:rPr>
        <w:t xml:space="preserve">1.</w:t>
      </w:r>
      <w:r>
        <w:rPr>
          <w:rFonts w:cs="仿宋" w:asciiTheme="minorEastAsia" w:hAnsiTheme="minorEastAsia" w:eastAsiaTheme="minorEastAsia"/>
          <w:b/>
          <w:bCs/>
          <w:szCs w:val="21"/>
        </w:rPr>
        <w:t xml:space="preserve">1</w:t>
      </w:r>
      <w:r>
        <w:rPr>
          <w:rFonts w:hint="eastAsia" w:cs="仿宋" w:asciiTheme="minorEastAsia" w:hAnsiTheme="minorEastAsia" w:eastAsiaTheme="minorEastAsia"/>
          <w:b/>
          <w:bCs/>
          <w:szCs w:val="21"/>
        </w:rPr>
        <w:t xml:space="preserve">“政采贷”业务流程</w:t>
      </w:r>
      <w:r/>
    </w:p>
    <w:p>
      <w:pPr>
        <w:pStyle w:val="777"/>
        <w:rPr>
          <w:rFonts w:cs="仿宋" w:asciiTheme="minorEastAsia" w:hAnsiTheme="minorEastAsia" w:eastAsiaTheme="minorEastAsia"/>
          <w:szCs w:val="21"/>
        </w:rPr>
      </w:pPr>
      <w:r>
        <w:rPr>
          <w:rFonts w:hint="eastAsia" w:cs="仿宋" w:asciiTheme="minorEastAsia" w:hAnsiTheme="minorEastAsia" w:eastAsiaTheme="minorEastAsia"/>
          <w:szCs w:val="21"/>
        </w:rPr>
        <mc:AlternateContent>
          <mc:Choice Requires="wpg">
            <w:drawing>
              <wp:inline xmlns:wp="http://schemas.openxmlformats.org/drawingml/2006/wordprocessingDrawing" distT="0" distB="0" distL="0" distR="0">
                <wp:extent cx="5267325" cy="1553845"/>
                <wp:effectExtent l="0" t="0" r="9525" b="8255"/>
                <wp:docPr id="2"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13" o:title=""/>
              </v:shape>
            </w:pict>
          </mc:Fallback>
        </mc:AlternateContent>
      </w:r>
      <w:r/>
    </w:p>
    <w:p>
      <w:pPr>
        <w:pStyle w:val="777"/>
        <w:ind w:left="640"/>
        <w:spacing w:line="320" w:lineRule="exact"/>
        <w:rPr>
          <w:rFonts w:cs="仿宋" w:asciiTheme="minorEastAsia" w:hAnsiTheme="minorEastAsia" w:eastAsiaTheme="minorEastAsia"/>
          <w:b/>
          <w:bCs/>
          <w:szCs w:val="21"/>
        </w:rPr>
      </w:pPr>
      <w:r>
        <w:rPr>
          <w:rFonts w:cs="仿宋" w:asciiTheme="minorEastAsia" w:hAnsiTheme="minorEastAsia" w:eastAsiaTheme="minorEastAsia"/>
          <w:b/>
          <w:bCs/>
          <w:szCs w:val="21"/>
        </w:rPr>
        <w:t xml:space="preserve">1.2</w:t>
      </w:r>
      <w:r>
        <w:rPr>
          <w:rFonts w:hint="eastAsia" w:cs="仿宋" w:asciiTheme="minorEastAsia" w:hAnsiTheme="minorEastAsia" w:eastAsiaTheme="minorEastAsia"/>
          <w:b/>
          <w:bCs/>
          <w:szCs w:val="21"/>
        </w:rPr>
        <w:t xml:space="preserve">操作流程</w:t>
      </w:r>
      <w:r/>
    </w:p>
    <w:p>
      <w:pPr>
        <w:pStyle w:val="777"/>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苏</w:t>
      </w:r>
      <w:r>
        <w:rPr>
          <w:rFonts w:hint="eastAsia" w:cs="仿宋" w:asciiTheme="minorEastAsia" w:hAnsiTheme="minorEastAsia" w:eastAsiaTheme="minorEastAsia"/>
          <w:szCs w:val="21"/>
        </w:rPr>
        <w:t xml:space="preserve">采云</w:t>
      </w:r>
      <w:r>
        <w:rPr>
          <w:rFonts w:hint="eastAsia" w:cs="仿宋" w:asciiTheme="minorEastAsia" w:hAnsiTheme="minorEastAsia" w:eastAsiaTheme="minorEastAsia"/>
          <w:szCs w:val="21"/>
        </w:rPr>
        <w:t xml:space="preserve">合同公示时，当供应商向采购人报备有融资贷款需求，并且在中征平台已经发起贷款申请。采购人需要在合同公示第三点其他信息中供应商账户</w:t>
      </w:r>
      <w:r>
        <w:rPr>
          <w:rFonts w:hint="eastAsia" w:cs="仿宋" w:asciiTheme="minorEastAsia" w:hAnsiTheme="minorEastAsia" w:eastAsiaTheme="minorEastAsia"/>
          <w:szCs w:val="21"/>
        </w:rPr>
        <w:t xml:space="preserve">信息第</w:t>
      </w:r>
      <w:r>
        <w:rPr>
          <w:rFonts w:hint="eastAsia" w:cs="仿宋" w:asciiTheme="minorEastAsia" w:hAnsiTheme="minorEastAsia" w:eastAsiaTheme="minorEastAsia"/>
          <w:szCs w:val="21"/>
        </w:rPr>
        <w:t xml:space="preserve">一行【供应商是否融资】选项里面设置为是。</w:t>
      </w:r>
      <w:r/>
    </w:p>
    <w:p>
      <w:pPr>
        <w:pStyle w:val="777"/>
        <w:ind w:left="640"/>
        <w:spacing w:line="320" w:lineRule="exact"/>
        <w:rPr>
          <w:rFonts w:cs="仿宋" w:asciiTheme="minorEastAsia" w:hAnsiTheme="minorEastAsia" w:eastAsiaTheme="minorEastAsia"/>
          <w:b/>
          <w:bCs/>
          <w:szCs w:val="21"/>
        </w:rPr>
      </w:pPr>
      <w:r>
        <w:rPr>
          <w:rFonts w:cs="仿宋" w:asciiTheme="minorEastAsia" w:hAnsiTheme="minorEastAsia" w:eastAsiaTheme="minorEastAsia"/>
          <w:b/>
          <w:bCs/>
          <w:szCs w:val="21"/>
        </w:rPr>
        <w:t xml:space="preserve">1.3</w:t>
      </w:r>
      <w:r>
        <w:rPr>
          <w:rFonts w:hint="eastAsia" w:cs="仿宋" w:asciiTheme="minorEastAsia" w:hAnsiTheme="minorEastAsia" w:eastAsiaTheme="minorEastAsia"/>
          <w:b/>
          <w:bCs/>
          <w:szCs w:val="21"/>
        </w:rPr>
        <w:t xml:space="preserve">常见问题</w:t>
      </w:r>
      <w:r/>
    </w:p>
    <w:p>
      <w:pPr>
        <w:pStyle w:val="777"/>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Q1：哪些企业能申请“政采贷”？</w:t>
      </w:r>
      <w:r/>
    </w:p>
    <w:p>
      <w:pPr>
        <w:pStyle w:val="777"/>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答：江苏省内采用国库集中支付的政府采购项目的中标供应商，可凭政府采购合同申请"</w:t>
      </w:r>
      <w:r>
        <w:rPr>
          <w:rFonts w:hint="eastAsia" w:cs="仿宋" w:asciiTheme="minorEastAsia" w:hAnsiTheme="minorEastAsia" w:eastAsiaTheme="minorEastAsia"/>
          <w:szCs w:val="21"/>
        </w:rPr>
        <w:t xml:space="preserve">政采贷"</w:t>
      </w:r>
      <w:r>
        <w:rPr>
          <w:rFonts w:hint="eastAsia" w:cs="仿宋" w:asciiTheme="minorEastAsia" w:hAnsiTheme="minorEastAsia" w:eastAsiaTheme="minorEastAsia"/>
          <w:szCs w:val="21"/>
        </w:rPr>
        <w:t xml:space="preserve">。</w:t>
      </w:r>
      <w:r/>
    </w:p>
    <w:p>
      <w:pPr>
        <w:pStyle w:val="777"/>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Q2：供应商在哪里申请“政采贷”？</w:t>
      </w:r>
      <w:r/>
    </w:p>
    <w:p>
      <w:pPr>
        <w:pStyle w:val="777"/>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答：中标供应商在“中征应收账款融资服务平台”（简称“中征平台”）上向意向银行发起融资申请</w:t>
      </w:r>
      <w:r/>
    </w:p>
    <w:p>
      <w:pPr>
        <w:pStyle w:val="777"/>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Q3：中标供应商要注意什么？</w:t>
      </w:r>
      <w:r/>
    </w:p>
    <w:p>
      <w:pPr>
        <w:pStyle w:val="777"/>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答：中标供应商要加强和采购单位的沟通协调，尽早确定融资需求。需要“政采贷”融资的，政府采购合同付款账号应当空置。</w:t>
      </w:r>
      <w:r/>
    </w:p>
    <w:p>
      <w:pPr>
        <w:pStyle w:val="777"/>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Q4：采购单位要做什么？</w:t>
      </w:r>
      <w:r/>
    </w:p>
    <w:p>
      <w:pPr>
        <w:pStyle w:val="777"/>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答：采购单位在“苏</w:t>
      </w:r>
      <w:r>
        <w:rPr>
          <w:rFonts w:hint="eastAsia" w:cs="仿宋" w:asciiTheme="minorEastAsia" w:hAnsiTheme="minorEastAsia" w:eastAsiaTheme="minorEastAsia"/>
          <w:szCs w:val="21"/>
        </w:rPr>
        <w:t xml:space="preserve">采云</w:t>
      </w:r>
      <w:r>
        <w:rPr>
          <w:rFonts w:hint="eastAsia" w:cs="仿宋" w:asciiTheme="minorEastAsia" w:hAnsiTheme="minorEastAsia" w:eastAsiaTheme="minorEastAsia"/>
          <w:szCs w:val="21"/>
        </w:rPr>
        <w:t xml:space="preserve">”系统中公示政府采购合同时，</w:t>
      </w:r>
      <w:r>
        <w:rPr>
          <w:rFonts w:hint="eastAsia" w:cs="仿宋" w:asciiTheme="minorEastAsia" w:hAnsiTheme="minorEastAsia" w:eastAsiaTheme="minorEastAsia"/>
          <w:szCs w:val="21"/>
        </w:rPr>
        <w:t xml:space="preserve">要勾选融资</w:t>
      </w:r>
      <w:r>
        <w:rPr>
          <w:rFonts w:hint="eastAsia" w:cs="仿宋" w:asciiTheme="minorEastAsia" w:hAnsiTheme="minorEastAsia" w:eastAsiaTheme="minorEastAsia"/>
          <w:szCs w:val="21"/>
        </w:rPr>
        <w:t xml:space="preserve">标识，为中标供应商融资提供便利。如后续融资失败，采购单位要</w:t>
      </w:r>
      <w:r>
        <w:rPr>
          <w:rFonts w:hint="eastAsia" w:cs="仿宋" w:asciiTheme="minorEastAsia" w:hAnsiTheme="minorEastAsia" w:eastAsiaTheme="minorEastAsia"/>
          <w:szCs w:val="21"/>
        </w:rPr>
        <w:t xml:space="preserve">及时维护</w:t>
      </w:r>
      <w:r>
        <w:rPr>
          <w:rFonts w:hint="eastAsia" w:cs="仿宋" w:asciiTheme="minorEastAsia" w:hAnsiTheme="minorEastAsia" w:eastAsiaTheme="minorEastAsia"/>
          <w:szCs w:val="21"/>
        </w:rPr>
        <w:t xml:space="preserve">中标供应</w:t>
      </w:r>
      <w:r>
        <w:rPr>
          <w:rFonts w:hint="eastAsia" w:cs="仿宋" w:asciiTheme="minorEastAsia" w:hAnsiTheme="minorEastAsia" w:eastAsiaTheme="minorEastAsia"/>
          <w:szCs w:val="21"/>
        </w:rPr>
        <w:t xml:space="preserve">商相关</w:t>
      </w:r>
      <w:r>
        <w:rPr>
          <w:rFonts w:hint="eastAsia" w:cs="仿宋" w:asciiTheme="minorEastAsia" w:hAnsiTheme="minorEastAsia" w:eastAsiaTheme="minorEastAsia"/>
          <w:szCs w:val="21"/>
        </w:rPr>
        <w:t xml:space="preserve">账号信息，按时支付款项。</w:t>
      </w:r>
      <w:r/>
    </w:p>
    <w:p>
      <w:pPr>
        <w:pStyle w:val="777"/>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Q5：“政采贷”融资失败怎么办？</w:t>
      </w:r>
      <w:r/>
    </w:p>
    <w:p>
      <w:pPr>
        <w:pStyle w:val="777"/>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777"/>
        <w:spacing w:line="320" w:lineRule="exact"/>
        <w:rPr>
          <w:rFonts w:cs="仿宋" w:asciiTheme="minorEastAsia" w:hAnsiTheme="minorEastAsia" w:eastAsiaTheme="minorEastAsia"/>
          <w:b/>
          <w:bCs/>
          <w:szCs w:val="21"/>
        </w:rPr>
      </w:pPr>
      <w:r>
        <w:rPr>
          <w:rFonts w:cs="仿宋" w:asciiTheme="minorEastAsia" w:hAnsiTheme="minorEastAsia" w:eastAsiaTheme="minorEastAsia"/>
          <w:b/>
          <w:bCs/>
          <w:szCs w:val="21"/>
        </w:rPr>
        <w:t xml:space="preserve">1.4</w:t>
      </w:r>
      <w:r>
        <w:rPr>
          <w:rFonts w:hint="eastAsia" w:cs="仿宋" w:asciiTheme="minorEastAsia" w:hAnsiTheme="minorEastAsia" w:eastAsiaTheme="minorEastAsia"/>
          <w:b/>
          <w:bCs/>
          <w:szCs w:val="21"/>
        </w:rPr>
        <w:t xml:space="preserve">网址及联系方式</w:t>
      </w:r>
      <w:r/>
    </w:p>
    <w:p>
      <w:pPr>
        <w:spacing w:line="320" w:lineRule="exact"/>
        <w:rPr>
          <w:rFonts w:cs="仿宋" w:asciiTheme="minorEastAsia" w:hAnsiTheme="minorEastAsia" w:eastAsiaTheme="minorEastAsia"/>
          <w:spacing w:val="1"/>
          <w:szCs w:val="21"/>
        </w:rPr>
      </w:pPr>
      <w:r>
        <w:rPr>
          <w:rFonts w:hint="eastAsia" w:cs="仿宋" w:asciiTheme="minorEastAsia" w:hAnsiTheme="minorEastAsia" w:eastAsiaTheme="minorEastAsia"/>
          <w:spacing w:val="1"/>
          <w:szCs w:val="21"/>
        </w:rPr>
        <w:t xml:space="preserve">政采贷</w:t>
      </w:r>
      <w:r>
        <w:rPr>
          <w:rFonts w:hint="eastAsia" w:cs="仿宋" w:asciiTheme="minorEastAsia" w:hAnsiTheme="minorEastAsia" w:eastAsiaTheme="minorEastAsia"/>
          <w:spacing w:val="1"/>
          <w:szCs w:val="21"/>
        </w:rPr>
        <w:t xml:space="preserve">：</w:t>
      </w:r>
      <w:hyperlink r:id="rId14" w:tooltip="http://www.ccgp-jiangsu.gov.cn/jiangsu/paying.html" w:history="1">
        <w:r>
          <w:rPr>
            <w:rStyle w:val="784"/>
            <w:rFonts w:hint="eastAsia" w:cs="仿宋" w:asciiTheme="minorEastAsia" w:hAnsiTheme="minorEastAsia" w:eastAsiaTheme="minorEastAsia"/>
            <w:spacing w:val="1"/>
            <w:szCs w:val="21"/>
          </w:rPr>
          <w:t xml:space="preserve">http://www.ccgp-jiangsu.gov.cn/jiangsu/paying.html</w:t>
        </w:r>
      </w:hyperlink>
      <w:r/>
      <w:r/>
    </w:p>
    <w:p>
      <w:pPr>
        <w:spacing w:line="320" w:lineRule="exact"/>
        <w:rPr>
          <w:rFonts w:cs="仿宋" w:asciiTheme="minorEastAsia" w:hAnsiTheme="minorEastAsia" w:eastAsiaTheme="minorEastAsia"/>
          <w:spacing w:val="1"/>
          <w:szCs w:val="21"/>
        </w:rPr>
      </w:pPr>
      <w:r>
        <w:rPr>
          <w:rFonts w:hint="eastAsia" w:cs="仿宋" w:asciiTheme="minorEastAsia" w:hAnsiTheme="minorEastAsia" w:eastAsiaTheme="minorEastAsia"/>
          <w:spacing w:val="1"/>
          <w:szCs w:val="21"/>
        </w:rPr>
        <w:t xml:space="preserve">中征平台：</w:t>
      </w:r>
      <w:hyperlink r:id="rId15" w:tooltip="https://www.crcrfsp.com/" w:history="1">
        <w:r>
          <w:rPr>
            <w:rStyle w:val="784"/>
            <w:rFonts w:hint="eastAsia" w:cs="仿宋" w:asciiTheme="minorEastAsia" w:hAnsiTheme="minorEastAsia" w:eastAsiaTheme="minorEastAsia"/>
            <w:spacing w:val="1"/>
            <w:szCs w:val="21"/>
          </w:rPr>
          <w:t xml:space="preserve">https://www.crcrfsp.com/</w:t>
        </w:r>
      </w:hyperlink>
      <w:r/>
      <w:r/>
    </w:p>
    <w:p>
      <w:pPr>
        <w:spacing w:line="320" w:lineRule="exact"/>
        <w:rPr>
          <w:rFonts w:cs="仿宋" w:asciiTheme="minorEastAsia" w:hAnsiTheme="minorEastAsia" w:eastAsiaTheme="minorEastAsia"/>
          <w:spacing w:val="1"/>
          <w:szCs w:val="21"/>
        </w:rPr>
      </w:pPr>
      <w:r>
        <w:rPr>
          <w:rFonts w:hint="eastAsia" w:cs="仿宋" w:asciiTheme="minorEastAsia" w:hAnsiTheme="minorEastAsia" w:eastAsiaTheme="minorEastAsia"/>
          <w:spacing w:val="1"/>
          <w:szCs w:val="21"/>
        </w:rPr>
        <w:t xml:space="preserve">联系人：张女士           联系电话：0523-82020605</w:t>
      </w:r>
      <w:r/>
    </w:p>
    <w:p>
      <w:pPr>
        <w:ind w:firstLine="643"/>
        <w:spacing w:line="320" w:lineRule="exac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2、竞争性谈判、招标不见面交易注意事项</w:t>
      </w:r>
      <w:r/>
    </w:p>
    <w:p>
      <w:pPr>
        <w:ind w:firstLine="562"/>
        <w:spacing w:line="320" w:lineRule="exact"/>
        <w:rPr>
          <w:rFonts w:cs="仿宋" w:asciiTheme="minorEastAsia" w:hAnsiTheme="minorEastAsia" w:eastAsiaTheme="minorEastAsia"/>
          <w:b/>
          <w:bCs/>
          <w:szCs w:val="21"/>
        </w:rPr>
      </w:pPr>
      <w:r>
        <w:rPr>
          <w:rFonts w:cs="仿宋" w:asciiTheme="minorEastAsia" w:hAnsiTheme="minorEastAsia" w:eastAsiaTheme="minorEastAsia"/>
          <w:b/>
          <w:bCs/>
          <w:szCs w:val="21"/>
        </w:rPr>
        <w:t xml:space="preserve">2.1</w:t>
      </w:r>
      <w:r>
        <w:rPr>
          <w:rFonts w:hint="eastAsia" w:cs="仿宋" w:asciiTheme="minorEastAsia" w:hAnsiTheme="minorEastAsia" w:eastAsiaTheme="minorEastAsia"/>
          <w:b/>
          <w:bCs/>
          <w:szCs w:val="21"/>
        </w:rPr>
        <w:t xml:space="preserve">安装调试音视频设备。</w:t>
      </w:r>
      <w:r>
        <w:rPr>
          <w:rFonts w:hint="eastAsia" w:cs="宋体" w:asciiTheme="minorEastAsia" w:hAnsiTheme="minorEastAsia" w:eastAsiaTheme="minorEastAsia"/>
          <w:szCs w:val="21"/>
          <w:shd w:val="clear" w:color="auto" w:fill="ffffff"/>
        </w:rPr>
        <w:t xml:space="preserve">各供应商在投标前按照要求装好耳麦、摄像头等通讯工具。</w:t>
      </w:r>
      <w:r/>
    </w:p>
    <w:p>
      <w:pPr>
        <w:ind w:firstLine="562"/>
        <w:spacing w:line="320" w:lineRule="exact"/>
        <w:rPr>
          <w:rFonts w:cs="宋体" w:asciiTheme="minorEastAsia" w:hAnsiTheme="minorEastAsia" w:eastAsiaTheme="minorEastAsia"/>
          <w:szCs w:val="21"/>
          <w:shd w:val="clear" w:color="auto" w:fill="ffffff"/>
        </w:rPr>
      </w:pPr>
      <w:r>
        <w:rPr>
          <w:rFonts w:cs="仿宋" w:asciiTheme="minorEastAsia" w:hAnsiTheme="minorEastAsia" w:eastAsiaTheme="minorEastAsia"/>
          <w:b/>
          <w:bCs/>
          <w:szCs w:val="21"/>
        </w:rPr>
        <w:t xml:space="preserve">2.2</w:t>
      </w:r>
      <w:r>
        <w:rPr>
          <w:rFonts w:hint="eastAsia" w:cs="仿宋" w:asciiTheme="minorEastAsia" w:hAnsiTheme="minorEastAsia" w:eastAsiaTheme="minorEastAsia"/>
          <w:b/>
          <w:bCs/>
          <w:szCs w:val="21"/>
        </w:rPr>
        <w:t xml:space="preserve">确保音视频畅通。</w:t>
      </w:r>
      <w:r>
        <w:rPr>
          <w:rFonts w:hint="eastAsia" w:cs="宋体" w:asciiTheme="minorEastAsia" w:hAnsiTheme="minorEastAsia" w:eastAsiaTheme="minorEastAsia"/>
          <w:szCs w:val="21"/>
          <w:shd w:val="clear" w:color="auto" w:fill="ffffff"/>
        </w:rPr>
        <w:t xml:space="preserve">竞争性谈判、招标项目需要进行谈判、招标程序，请各供应商在投标前按照要求对耳麦、摄像头等通讯工具进行最终调试，可以</w:t>
      </w:r>
      <w:r>
        <w:rPr>
          <w:rFonts w:hint="eastAsia" w:cs="宋体" w:asciiTheme="minorEastAsia" w:hAnsiTheme="minorEastAsia" w:eastAsiaTheme="minorEastAsia"/>
          <w:szCs w:val="21"/>
          <w:shd w:val="clear" w:color="auto" w:fill="ffffff"/>
        </w:rPr>
        <w:t xml:space="preserve">利用微信或</w:t>
      </w:r>
      <w:r>
        <w:rPr>
          <w:rFonts w:hint="eastAsia" w:cs="宋体" w:asciiTheme="minorEastAsia" w:hAnsiTheme="minorEastAsia" w:eastAsiaTheme="minorEastAsia"/>
          <w:szCs w:val="21"/>
          <w:shd w:val="clear" w:color="auto" w:fill="ffffff"/>
        </w:rPr>
        <w:t xml:space="preserve">qq等相关软件进行测试，</w:t>
      </w:r>
      <w:r>
        <w:rPr>
          <w:rFonts w:hint="eastAsia" w:cs="宋体" w:asciiTheme="minorEastAsia" w:hAnsiTheme="minorEastAsia" w:eastAsiaTheme="minorEastAsia"/>
          <w:szCs w:val="21"/>
          <w:shd w:val="clear" w:color="auto" w:fill="ffffff"/>
        </w:rPr>
        <w:t xml:space="preserve">确保在谈判、招标过程可以正常进行。</w:t>
      </w:r>
      <w:r/>
    </w:p>
    <w:p>
      <w:pPr>
        <w:ind w:firstLine="562"/>
        <w:spacing w:line="320" w:lineRule="exact"/>
        <w:rPr>
          <w:rFonts w:cs="宋体" w:asciiTheme="minorEastAsia" w:hAnsiTheme="minorEastAsia" w:eastAsiaTheme="minorEastAsia"/>
          <w:szCs w:val="21"/>
          <w:shd w:val="clear" w:color="auto" w:fill="ffffff"/>
        </w:rPr>
      </w:pPr>
      <w:r>
        <w:rPr>
          <w:rFonts w:cs="仿宋" w:asciiTheme="minorEastAsia" w:hAnsiTheme="minorEastAsia" w:eastAsiaTheme="minorEastAsia"/>
          <w:b/>
          <w:bCs/>
          <w:szCs w:val="21"/>
        </w:rPr>
        <w:t xml:space="preserve">2.3</w:t>
      </w:r>
      <w:r>
        <w:rPr>
          <w:rFonts w:hint="eastAsia" w:cs="仿宋" w:asciiTheme="minorEastAsia" w:hAnsiTheme="minorEastAsia" w:eastAsiaTheme="minorEastAsia"/>
          <w:b/>
          <w:bCs/>
          <w:szCs w:val="21"/>
        </w:rPr>
        <w:t xml:space="preserve">及时完成最终报价。</w:t>
      </w:r>
      <w:r>
        <w:rPr>
          <w:rFonts w:hint="eastAsia" w:cs="宋体" w:asciiTheme="minorEastAsia" w:hAnsiTheme="minorEastAsia" w:eastAsiaTheme="minorEastAsia"/>
          <w:szCs w:val="21"/>
          <w:shd w:val="clear" w:color="auto" w:fill="ffffff"/>
        </w:rPr>
        <w:t xml:space="preserve">竞争性谈判、招标项目需要供应商进行最终报价，请各供应商在项目评标结束之前不要擅自离开“苏</w:t>
      </w:r>
      <w:r>
        <w:rPr>
          <w:rFonts w:hint="eastAsia" w:cs="宋体" w:asciiTheme="minorEastAsia" w:hAnsiTheme="minorEastAsia" w:eastAsiaTheme="minorEastAsia"/>
          <w:szCs w:val="21"/>
          <w:shd w:val="clear" w:color="auto" w:fill="ffffff"/>
        </w:rPr>
        <w:t xml:space="preserve">采云</w:t>
      </w:r>
      <w:r>
        <w:rPr>
          <w:rFonts w:hint="eastAsia" w:cs="宋体" w:asciiTheme="minorEastAsia" w:hAnsiTheme="minorEastAsia" w:eastAsiaTheme="minorEastAsia"/>
          <w:szCs w:val="21"/>
          <w:shd w:val="clear" w:color="auto" w:fill="ffffff"/>
        </w:rPr>
        <w:t xml:space="preserve">”交易系统开标大厅，待评审专家开启最终报价程序后，及时准确完成最终报价。</w:t>
      </w:r>
      <w:r/>
    </w:p>
    <w:p>
      <w:pPr>
        <w:ind w:firstLine="643"/>
        <w:spacing w:line="320" w:lineRule="exac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3、供应</w:t>
      </w:r>
      <w:r>
        <w:rPr>
          <w:rFonts w:hint="eastAsia" w:cs="宋体" w:asciiTheme="minorEastAsia" w:hAnsiTheme="minorEastAsia" w:eastAsiaTheme="minorEastAsia"/>
          <w:b/>
          <w:bCs/>
          <w:szCs w:val="21"/>
        </w:rPr>
        <w:t xml:space="preserve">商相关</w:t>
      </w:r>
      <w:r>
        <w:rPr>
          <w:rFonts w:hint="eastAsia" w:cs="宋体" w:asciiTheme="minorEastAsia" w:hAnsiTheme="minorEastAsia" w:eastAsiaTheme="minorEastAsia"/>
          <w:b/>
          <w:bCs/>
          <w:szCs w:val="21"/>
        </w:rPr>
        <w:t xml:space="preserve">法律责任提醒</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cs="仿宋" w:asciiTheme="minorEastAsia" w:hAnsiTheme="minorEastAsia" w:eastAsiaTheme="minorEastAsia"/>
          <w:szCs w:val="21"/>
        </w:rPr>
        <w:t xml:space="preserve">商客观</w:t>
      </w:r>
      <w:r>
        <w:rPr>
          <w:rFonts w:hint="eastAsia" w:cs="仿宋" w:asciiTheme="minorEastAsia" w:hAnsiTheme="minorEastAsia" w:eastAsiaTheme="minorEastAsia"/>
          <w:szCs w:val="21"/>
        </w:rPr>
        <w:t xml:space="preserve">真实编制投标响应文件、规范报价行为、依法签订履行合同，持续营造我市风清气正的政府采购环境。</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相关法律法规：</w:t>
      </w:r>
      <w:r/>
    </w:p>
    <w:p>
      <w:pPr>
        <w:ind w:firstLine="562"/>
        <w:spacing w:line="320" w:lineRule="exact"/>
        <w:rPr>
          <w:rFonts w:cs="仿宋" w:asciiTheme="minorEastAsia" w:hAnsiTheme="minorEastAsia" w:eastAsiaTheme="minorEastAsia"/>
          <w:szCs w:val="21"/>
        </w:rPr>
      </w:pPr>
      <w:r>
        <w:rPr>
          <w:rFonts w:hint="eastAsia" w:cs="仿宋" w:asciiTheme="minorEastAsia" w:hAnsiTheme="minorEastAsia" w:eastAsiaTheme="minorEastAsia"/>
          <w:b/>
          <w:bCs/>
          <w:szCs w:val="21"/>
        </w:rPr>
        <w:t xml:space="preserve">《政府采购法》</w:t>
      </w:r>
      <w:r>
        <w:rPr>
          <w:rFonts w:hint="eastAsia" w:cs="仿宋" w:asciiTheme="minorEastAsia" w:hAnsiTheme="minorEastAsia" w:eastAsiaTheme="minorEastAsia"/>
          <w:szCs w:val="21"/>
        </w:rPr>
        <w:t xml:space="preserve">第七十七条　供应商有下列情形之一的，处以采购金额千分之五以上千</w:t>
      </w:r>
      <w:r>
        <w:rPr>
          <w:rFonts w:hint="eastAsia" w:cs="仿宋" w:asciiTheme="minorEastAsia" w:hAnsiTheme="minorEastAsia" w:eastAsiaTheme="minorEastAsia"/>
          <w:szCs w:val="21"/>
        </w:rPr>
        <w:t xml:space="preserve">分之十</w:t>
      </w:r>
      <w:r>
        <w:rPr>
          <w:rFonts w:hint="eastAsia" w:cs="仿宋" w:asciiTheme="minorEastAsia" w:hAnsiTheme="minorEastAsia" w:eastAsiaTheme="minorEastAsia"/>
          <w:szCs w:val="21"/>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（一）提供虚假材料谋取中标、成交的；</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（二）采取不正当手段诋毁、排挤其他供应商的；</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（三）与采购人、其他供应商或者采购代理机构恶意串通的；</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（四）向采购人、采购代理机构行贿或者提供其他不正当利益的；</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（五）在招标采购过程中与采购人进行协商谈判的；</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（六）拒绝有关部门监督检查或者提供虚假情况的。</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供应商有前款第（一）至（五）项情形之一的，中标、成交无效。</w:t>
      </w:r>
      <w:r/>
    </w:p>
    <w:p>
      <w:pPr>
        <w:ind w:firstLine="562"/>
        <w:spacing w:line="320" w:lineRule="exact"/>
        <w:rPr>
          <w:rFonts w:cs="仿宋" w:asciiTheme="minorEastAsia" w:hAnsiTheme="minorEastAsia" w:eastAsiaTheme="minorEastAsia"/>
          <w:szCs w:val="21"/>
        </w:rPr>
      </w:pPr>
      <w:r>
        <w:rPr>
          <w:rFonts w:hint="eastAsia" w:cs="仿宋" w:asciiTheme="minorEastAsia" w:hAnsiTheme="minorEastAsia" w:eastAsiaTheme="minorEastAsia"/>
          <w:b/>
          <w:bCs/>
          <w:szCs w:val="21"/>
        </w:rPr>
        <w:t xml:space="preserve">《政府采购法实施条例》</w:t>
      </w:r>
      <w:r>
        <w:rPr>
          <w:rFonts w:hint="eastAsia" w:cs="仿宋" w:asciiTheme="minorEastAsia" w:hAnsiTheme="minorEastAsia" w:eastAsiaTheme="minorEastAsia"/>
          <w:szCs w:val="21"/>
        </w:rPr>
        <w:t xml:space="preserve">第七十二条　供应商有下列情形之一的，依照政府采购法第七十七条第一款的规定追究法律责任：</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（一）向评标委员会、竞争性谈判小组或者询价小组成员行贿或者提供其他不正当利益；</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（二）中标或者成交后无正当理由拒不与采购人签订政府采购合同；</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（三）未按照采购文件确定的事项签订政府采购合同；</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（四）将政府采购合同转包；</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（五）提供假冒伪劣产品；</w:t>
      </w:r>
      <w:r/>
    </w:p>
    <w:p>
      <w:pPr>
        <w:ind w:firstLine="560"/>
        <w:spacing w:line="32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（六）擅自变更、中止或者终止政府采购合同。</w:t>
      </w:r>
      <w:r/>
    </w:p>
    <w:p>
      <w:pPr>
        <w:pStyle w:val="954"/>
        <w:ind w:right="210"/>
        <w:spacing w:line="320" w:lineRule="exact"/>
        <w:rPr>
          <w:rFonts w:cs="Microsoft New Tai Lue"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bookmarkStart w:id="6" w:name="_Toc103848531"/>
      <w:r/>
      <w:bookmarkStart w:id="7" w:name="_Toc104560842"/>
      <w:r/>
      <w:bookmarkStart w:id="8" w:name="_Toc107246218"/>
      <w:r>
        <w:rPr>
          <w:rFonts w:cs="Microsoft New Tai Lue" w:asciiTheme="minorEastAsia" w:hAnsiTheme="minorEastAsia" w:eastAsiaTheme="minorEastAsia"/>
          <w:sz w:val="21"/>
          <w:szCs w:val="21"/>
        </w:rPr>
        <w:t xml:space="preserve">4.</w:t>
      </w:r>
      <w:bookmarkEnd w:id="6"/>
      <w:r>
        <w:rPr>
          <w:rFonts w:hint="eastAsia" w:cs="Microsoft New Tai Lue" w:asciiTheme="minorEastAsia" w:hAnsiTheme="minorEastAsia" w:eastAsiaTheme="minorEastAsia"/>
          <w:sz w:val="21"/>
          <w:szCs w:val="21"/>
        </w:rPr>
        <w:t xml:space="preserve">政府采购政策（包括但不限于下列具体政策要求）</w:t>
      </w:r>
      <w:bookmarkEnd w:id="7"/>
      <w:r/>
      <w:bookmarkEnd w:id="8"/>
      <w:r/>
      <w:r/>
    </w:p>
    <w:p>
      <w:pPr>
        <w:ind w:firstLine="422"/>
        <w:spacing w:line="320" w:lineRule="exact"/>
        <w:rPr>
          <w:rFonts w:cs="Microsoft New Tai Lue" w:asciiTheme="minorEastAsia" w:hAnsiTheme="minorEastAsia" w:eastAsiaTheme="minorEastAsia"/>
          <w:b/>
          <w:szCs w:val="21"/>
        </w:rPr>
      </w:pPr>
      <w:r>
        <w:rPr>
          <w:rFonts w:hint="eastAsia" w:cs="黑体" w:asciiTheme="minorEastAsia" w:hAnsiTheme="minorEastAsia" w:eastAsiaTheme="minorEastAsia"/>
          <w:szCs w:val="21"/>
        </w:rPr>
        <w:t xml:space="preserve">四、政府采购政策</w:t>
      </w:r>
      <w:r/>
    </w:p>
    <w:p>
      <w:pPr>
        <w:ind w:firstLine="422"/>
        <w:spacing w:line="320" w:lineRule="exact"/>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Microsoft New Tai Lue" w:hAnsi="Microsoft New Tai Lue" w:cs="Microsoft New Tai Lue"/>
          <w:szCs w:val="21"/>
        </w:rPr>
        <w:t xml:space="preserve">2020</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46</w:t>
      </w:r>
      <w:r>
        <w:rPr>
          <w:rFonts w:hint="eastAsia" w:ascii="Microsoft New Tai Lue" w:hAnsi="Microsoft New Tai Lue" w:cs="Microsoft New Tai Lue"/>
          <w:szCs w:val="21"/>
        </w:rPr>
        <w:t xml:space="preserve">号）、《关于印发中小企业划型标准规定的通知》（工信部联企业〔</w:t>
      </w:r>
      <w:r>
        <w:rPr>
          <w:rFonts w:hint="eastAsia" w:ascii="Microsoft New Tai Lue" w:hAnsi="Microsoft New Tai Lue" w:cs="Microsoft New Tai Lue"/>
          <w:szCs w:val="21"/>
        </w:rPr>
        <w:t xml:space="preserve">2011</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300 </w:t>
      </w:r>
      <w:r>
        <w:rPr>
          <w:rFonts w:hint="eastAsia" w:ascii="Microsoft New Tai Lue" w:hAnsi="Microsoft New Tai Lue" w:cs="Microsoft New Tai Lue"/>
          <w:szCs w:val="21"/>
        </w:rPr>
        <w:t xml:space="preserve">号）、《国务院关于进一步促进中小企业发展的若干意见》（国发〔</w:t>
      </w:r>
      <w:r>
        <w:rPr>
          <w:rFonts w:hint="eastAsia" w:ascii="Microsoft New Tai Lue" w:hAnsi="Microsoft New Tai Lue" w:cs="Microsoft New Tai Lue"/>
          <w:szCs w:val="21"/>
        </w:rPr>
        <w:t xml:space="preserve">2009</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36 </w:t>
      </w:r>
      <w:r>
        <w:rPr>
          <w:rFonts w:hint="eastAsia" w:ascii="Microsoft New Tai Lue" w:hAnsi="Microsoft New Tai Lue" w:cs="Microsoft New Tai Lue"/>
          <w:szCs w:val="21"/>
        </w:rPr>
        <w:t xml:space="preserve">号）。</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投标人提供的货物、工程或者服务符合下列情形的，享受中小企业扶持政策：</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）在货物采购项目中，货物由中小企业制造，即货物由中小企业生产且使用该中小企业商号或者注册商标；</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）在工程采购项目中，工程由中小企业承建，即工程施工单位为中小企业；</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）在服务采购项目中，服务由中小企业承接，即提供服务的人员为中小企业依照《中华人民共和国劳动合同法》订立劳动合同的从业人员。</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在货物采购项目中，投标人提供的货物既有中小企业制造货物，也有大型企业制造货物的，不享受中小企业扶持政策。</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w:t>
      </w:r>
      <w:r>
        <w:rPr>
          <w:rFonts w:hint="eastAsia" w:ascii="Microsoft New Tai Lue" w:hAnsi="Microsoft New Tai Lue" w:cs="Microsoft New Tai Lue"/>
          <w:szCs w:val="21"/>
        </w:rPr>
        <w:t xml:space="preserve">式参加</w:t>
      </w:r>
      <w:r>
        <w:rPr>
          <w:rFonts w:hint="eastAsia" w:ascii="Microsoft New Tai Lue" w:hAnsi="Microsoft New Tai Lue" w:cs="Microsoft New Tai Lue"/>
          <w:szCs w:val="21"/>
        </w:rPr>
        <w:t xml:space="preserve">政府采购活动，联合体各方均为中小企业的，联合体视同中小企业。其中，联合体各方均为小</w:t>
      </w:r>
      <w:r>
        <w:rPr>
          <w:rFonts w:hint="eastAsia" w:ascii="Microsoft New Tai Lue" w:hAnsi="Microsoft New Tai Lue" w:cs="Microsoft New Tai Lue"/>
          <w:szCs w:val="21"/>
        </w:rPr>
        <w:t xml:space="preserve">微企业</w:t>
      </w:r>
      <w:r>
        <w:rPr>
          <w:rFonts w:hint="eastAsia" w:ascii="Microsoft New Tai Lue" w:hAnsi="Microsoft New Tai Lue" w:cs="Microsoft New Tai Lue"/>
          <w:szCs w:val="21"/>
        </w:rPr>
        <w:t xml:space="preserve">的，联合体视同小微企业。</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）安置的残疾人占本单位在职职工人数的比例不低于</w:t>
      </w:r>
      <w:r>
        <w:rPr>
          <w:rFonts w:hint="eastAsia" w:ascii="Microsoft New Tai Lue" w:hAnsi="Microsoft New Tai Lue" w:cs="Microsoft New Tai Lue"/>
          <w:szCs w:val="21"/>
        </w:rPr>
        <w:t xml:space="preserve">25%</w:t>
      </w:r>
      <w:r>
        <w:rPr>
          <w:rFonts w:hint="eastAsia" w:ascii="Microsoft New Tai Lue" w:hAnsi="Microsoft New Tai Lue" w:cs="Microsoft New Tai Lue"/>
          <w:szCs w:val="21"/>
        </w:rPr>
        <w:t xml:space="preserve">（含</w:t>
      </w:r>
      <w:r>
        <w:rPr>
          <w:rFonts w:hint="eastAsia" w:ascii="Microsoft New Tai Lue" w:hAnsi="Microsoft New Tai Lue" w:cs="Microsoft New Tai Lue"/>
          <w:szCs w:val="21"/>
        </w:rPr>
        <w:t xml:space="preserve">25%</w:t>
      </w:r>
      <w:r>
        <w:rPr>
          <w:rFonts w:hint="eastAsia" w:ascii="Microsoft New Tai Lue" w:hAnsi="Microsoft New Tai Lue" w:cs="Microsoft New Tai Lue"/>
          <w:szCs w:val="21"/>
        </w:rPr>
        <w:t xml:space="preserve">），并且安置的残疾人人数不少于</w:t>
      </w:r>
      <w:r>
        <w:rPr>
          <w:rFonts w:hint="eastAsia" w:ascii="Microsoft New Tai Lue" w:hAnsi="Microsoft New Tai Lue" w:cs="Microsoft New Tai Lue"/>
          <w:szCs w:val="21"/>
        </w:rPr>
        <w:t xml:space="preserve">10 </w:t>
      </w:r>
      <w:r>
        <w:rPr>
          <w:rFonts w:hint="eastAsia" w:ascii="Microsoft New Tai Lue" w:hAnsi="Microsoft New Tai Lue" w:cs="Microsoft New Tai Lue"/>
          <w:szCs w:val="21"/>
        </w:rPr>
        <w:t xml:space="preserve">人（含</w:t>
      </w:r>
      <w:r>
        <w:rPr>
          <w:rFonts w:hint="eastAsia" w:ascii="Microsoft New Tai Lue" w:hAnsi="Microsoft New Tai Lue" w:cs="Microsoft New Tai Lue"/>
          <w:szCs w:val="21"/>
        </w:rPr>
        <w:t xml:space="preserve">10 </w:t>
      </w:r>
      <w:r>
        <w:rPr>
          <w:rFonts w:hint="eastAsia" w:ascii="Microsoft New Tai Lue" w:hAnsi="Microsoft New Tai Lue" w:cs="Microsoft New Tai Lue"/>
          <w:szCs w:val="21"/>
        </w:rPr>
        <w:t xml:space="preserve">人）；</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）依法与安置的每位残疾人签订了一年以上（含一年）的劳动合同或服务协议；</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）为安置的每位残疾人按月足额缴纳了基本养老保险、基本医疗保险、失业保险、工伤保险和生育保险等社会保险费；</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）通过银行等金融机构向安置的每位残疾人，按月支付了不低于单位所在区县适用的经省级人民政府批准的月最低工资标准的工资；</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rPr>
        <w:t xml:space="preserve">）提供本单位制造的货物、承担的工程或者服务（以下简称产品），或者提供其他残疾人福利性单位制造的货物（不包括使用非残疾人福利性单位注册商标的货物）；</w:t>
      </w:r>
      <w:r/>
    </w:p>
    <w:p>
      <w:pPr>
        <w:ind w:firstLine="315"/>
        <w:jc w:val="left"/>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6</w:t>
      </w:r>
      <w:r>
        <w:rPr>
          <w:rFonts w:hint="eastAsia" w:ascii="Microsoft New Tai Lue" w:hAnsi="Microsoft New Tai Lue" w:cs="Microsoft New Tai Lue"/>
          <w:szCs w:val="21"/>
        </w:rPr>
        <w:t xml:space="preserve">）前款所称残疾人是指法</w:t>
      </w:r>
      <w:r>
        <w:rPr>
          <w:rFonts w:hint="eastAsia" w:ascii="Microsoft New Tai Lue" w:hAnsi="Microsoft New Tai Lue" w:cs="Microsoft New Tai Lue"/>
          <w:szCs w:val="21"/>
        </w:rPr>
        <w:t xml:space="preserve">定劳动</w:t>
      </w:r>
      <w:r>
        <w:rPr>
          <w:rFonts w:hint="eastAsia" w:ascii="Microsoft New Tai Lue" w:hAnsi="Microsoft New Tai Lue" w:cs="Microsoft New Tai Lue"/>
          <w:szCs w:val="21"/>
        </w:rPr>
        <w:t xml:space="preserve">年龄内，持有《中华人民共和国残疾人证》或者《中华人民共和国残疾军人证（</w:t>
      </w:r>
      <w:r>
        <w:rPr>
          <w:rFonts w:hint="eastAsia" w:ascii="Microsoft New Tai Lue" w:hAnsi="Microsoft New Tai Lue" w:cs="Microsoft New Tai Lue"/>
          <w:szCs w:val="21"/>
        </w:rPr>
        <w:t xml:space="preserve">1 </w:t>
      </w:r>
      <w:r>
        <w:rPr>
          <w:rFonts w:hint="eastAsia" w:ascii="Microsoft New Tai Lue" w:hAnsi="Microsoft New Tai Lue" w:cs="Microsoft New Tai Lue"/>
          <w:szCs w:val="21"/>
        </w:rPr>
        <w:t xml:space="preserve">至</w:t>
      </w:r>
      <w:r>
        <w:rPr>
          <w:rFonts w:hint="eastAsia" w:ascii="Microsoft New Tai Lue" w:hAnsi="Microsoft New Tai Lue" w:cs="Microsoft New Tai Lue"/>
          <w:szCs w:val="21"/>
        </w:rPr>
        <w:t xml:space="preserve">8 </w:t>
      </w:r>
      <w:r>
        <w:rPr>
          <w:rFonts w:hint="eastAsia" w:ascii="Microsoft New Tai Lue" w:hAnsi="Microsoft New Tai Lue" w:cs="Microsoft New Tai Lue"/>
          <w:szCs w:val="21"/>
        </w:rPr>
        <w:t xml:space="preserve">级）》的自然人，包括具有劳动条件和劳动意愿的精神残疾人。在职职工人数是指与残疾人福利性单位建立劳动关系并依法签订劳动合同或服务协议的雇员人数。</w:t>
      </w:r>
      <w:r/>
    </w:p>
    <w:p>
      <w:pPr>
        <w:ind w:firstLine="420"/>
        <w:spacing w:line="320" w:lineRule="exact"/>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w:t>
      </w:r>
      <w:r>
        <w:rPr>
          <w:rFonts w:hint="eastAsia" w:ascii="Microsoft New Tai Lue" w:hAnsi="Microsoft New Tai Lue" w:cs="Microsoft New Tai Lue"/>
          <w:szCs w:val="21"/>
        </w:rPr>
        <w:t xml:space="preserve">微企业</w:t>
      </w:r>
      <w:r>
        <w:rPr>
          <w:rFonts w:hint="eastAsia" w:ascii="Microsoft New Tai Lue" w:hAnsi="Microsoft New Tai Lue" w:cs="Microsoft New Tai Lue"/>
          <w:szCs w:val="21"/>
        </w:rPr>
        <w:t xml:space="preserve">价格评审优惠的政策调整：见《评标方法与评标标准》（如涉及）。</w:t>
      </w:r>
      <w:r/>
    </w:p>
    <w:p>
      <w:pPr>
        <w:ind w:firstLine="422"/>
        <w:spacing w:line="320" w:lineRule="exact"/>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hint="eastAsia" w:ascii="Microsoft New Tai Lue" w:hAnsi="Microsoft New Tai Lue" w:cs="Microsoft New Tai Lue"/>
          <w:szCs w:val="21"/>
        </w:rPr>
        <w:t xml:space="preserve">2019</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hint="eastAsia" w:ascii="Microsoft New Tai Lue" w:hAnsi="Microsoft New Tai Lue" w:cs="Microsoft New Tai Lue"/>
          <w:szCs w:val="21"/>
        </w:rPr>
        <w:t xml:space="preserve">号）。</w:t>
      </w:r>
      <w:r>
        <w:rPr>
          <w:rFonts w:hint="eastAsia" w:ascii="Microsoft New Tai Lue" w:hAnsi="Microsoft New Tai Lue" w:cs="Microsoft New Tai Lue"/>
          <w:szCs w:val="21"/>
        </w:rPr>
        <w:t xml:space="preserve"> </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pStyle w:val="1067"/>
        <w:ind w:firstLine="480"/>
        <w:spacing w:line="320" w:lineRule="exact"/>
        <w:rPr>
          <w:rFonts w:ascii="Microsoft New Tai Lue" w:hAnsi="Microsoft New Tai Lue" w:eastAsia="宋体" w:cs="Microsoft New Tai Lue"/>
          <w:b/>
          <w:color w:val="auto"/>
          <w:sz w:val="21"/>
          <w:szCs w:val="21"/>
        </w:rPr>
      </w:pPr>
      <w:r>
        <w:rPr>
          <w:rFonts w:hint="eastAsia" w:ascii="Microsoft New Tai Lue" w:hAnsi="Microsoft New Tai Lue" w:eastAsia="宋体" w:cs="Microsoft New Tai Lue"/>
          <w:b/>
          <w:color w:val="auto"/>
          <w:sz w:val="21"/>
          <w:szCs w:val="21"/>
        </w:rPr>
        <w:t xml:space="preserve">4.3</w:t>
      </w:r>
      <w:r>
        <w:rPr>
          <w:rFonts w:hint="eastAsia" w:ascii="Microsoft New Tai Lue" w:hAnsi="Microsoft New Tai Lue" w:eastAsia="宋体" w:cs="Microsoft New Tai Lue"/>
          <w:b/>
          <w:color w:val="auto"/>
          <w:sz w:val="21"/>
          <w:szCs w:val="21"/>
        </w:rPr>
        <w:t xml:space="preserve">商品包装、快递包装</w:t>
      </w:r>
      <w:r/>
    </w:p>
    <w:p>
      <w:pPr>
        <w:pStyle w:val="1067"/>
        <w:ind w:firstLine="480"/>
        <w:spacing w:line="320" w:lineRule="exact"/>
        <w:rPr>
          <w:rFonts w:ascii="Microsoft New Tai Lue" w:hAnsi="Microsoft New Tai Lue" w:eastAsia="宋体" w:cs="Microsoft New Tai Lue"/>
          <w:color w:val="auto"/>
          <w:sz w:val="21"/>
          <w:szCs w:val="21"/>
        </w:rPr>
      </w:pPr>
      <w:r>
        <w:rPr>
          <w:rFonts w:hint="eastAsia" w:ascii="Microsoft New Tai Lue" w:hAnsi="Microsoft New Tai Lue" w:eastAsia="宋体" w:cs="Microsoft New Tai Lue"/>
          <w:color w:val="auto"/>
          <w:sz w:val="21"/>
          <w:szCs w:val="21"/>
        </w:rPr>
        <w:t xml:space="preserve">根据财政部就联合生态环境部、国家邮政局三部门对外发布《关于印发</w:t>
      </w:r>
      <w:r>
        <w:rPr>
          <w:rFonts w:hint="eastAsia" w:ascii="Microsoft New Tai Lue" w:hAnsi="Microsoft New Tai Lue" w:eastAsia="宋体" w:cs="Microsoft New Tai Lue"/>
          <w:color w:val="auto"/>
          <w:sz w:val="21"/>
          <w:szCs w:val="21"/>
        </w:rPr>
        <w:t xml:space="preserve">&lt;</w:t>
      </w:r>
      <w:r>
        <w:rPr>
          <w:rFonts w:hint="eastAsia" w:ascii="Microsoft New Tai Lue" w:hAnsi="Microsoft New Tai Lue" w:eastAsia="宋体" w:cs="Microsoft New Tai Lue"/>
          <w:color w:val="auto"/>
          <w:sz w:val="21"/>
          <w:szCs w:val="21"/>
        </w:rPr>
        <w:t xml:space="preserve">商品包装政府采购</w:t>
      </w:r>
      <w:r>
        <w:rPr>
          <w:rFonts w:hint="eastAsia" w:ascii="Microsoft New Tai Lue" w:hAnsi="Microsoft New Tai Lue" w:eastAsia="宋体" w:cs="Microsoft New Tai Lue"/>
          <w:color w:val="auto"/>
          <w:sz w:val="21"/>
          <w:szCs w:val="21"/>
        </w:rPr>
        <w:t xml:space="preserve">需求标准（试行）</w:t>
      </w:r>
      <w:r>
        <w:rPr>
          <w:rFonts w:hint="eastAsia" w:ascii="Microsoft New Tai Lue" w:hAnsi="Microsoft New Tai Lue" w:eastAsia="宋体" w:cs="Microsoft New Tai Lue"/>
          <w:color w:val="auto"/>
          <w:sz w:val="21"/>
          <w:szCs w:val="21"/>
        </w:rPr>
        <w:t xml:space="preserve">&gt;</w:t>
      </w:r>
      <w:r>
        <w:rPr>
          <w:rFonts w:hint="eastAsia" w:ascii="Microsoft New Tai Lue" w:hAnsi="Microsoft New Tai Lue" w:eastAsia="宋体" w:cs="Microsoft New Tai Lue"/>
          <w:color w:val="auto"/>
          <w:sz w:val="21"/>
          <w:szCs w:val="21"/>
        </w:rPr>
        <w:t xml:space="preserve">、</w:t>
      </w:r>
      <w:r>
        <w:rPr>
          <w:rFonts w:hint="eastAsia" w:ascii="Microsoft New Tai Lue" w:hAnsi="Microsoft New Tai Lue" w:eastAsia="宋体" w:cs="Microsoft New Tai Lue"/>
          <w:color w:val="auto"/>
          <w:sz w:val="21"/>
          <w:szCs w:val="21"/>
        </w:rPr>
        <w:t xml:space="preserve">&lt;</w:t>
      </w:r>
      <w:r>
        <w:rPr>
          <w:rFonts w:hint="eastAsia" w:ascii="Microsoft New Tai Lue" w:hAnsi="Microsoft New Tai Lue" w:eastAsia="宋体" w:cs="Microsoft New Tai Lue"/>
          <w:color w:val="auto"/>
          <w:sz w:val="21"/>
          <w:szCs w:val="21"/>
        </w:rPr>
        <w:t xml:space="preserve">快递包装政府采购需求标准（试行）</w:t>
      </w:r>
      <w:r>
        <w:rPr>
          <w:rFonts w:hint="eastAsia" w:ascii="Microsoft New Tai Lue" w:hAnsi="Microsoft New Tai Lue" w:eastAsia="宋体" w:cs="Microsoft New Tai Lue"/>
          <w:color w:val="auto"/>
          <w:sz w:val="21"/>
          <w:szCs w:val="21"/>
        </w:rPr>
        <w:t xml:space="preserve">&gt;</w:t>
      </w:r>
      <w:r>
        <w:rPr>
          <w:rFonts w:hint="eastAsia" w:ascii="Microsoft New Tai Lue" w:hAnsi="Microsoft New Tai Lue" w:eastAsia="宋体" w:cs="Microsoft New Tai Lue"/>
          <w:color w:val="auto"/>
          <w:sz w:val="21"/>
          <w:szCs w:val="21"/>
        </w:rPr>
        <w:t xml:space="preserve">的通知》，对于项目中所涉及商品和快递包装的，参考招标文件中的项目需求对产品进行绿色包装。</w:t>
      </w:r>
      <w:r/>
    </w:p>
    <w:p>
      <w:pPr>
        <w:pStyle w:val="1067"/>
        <w:ind w:firstLine="480"/>
        <w:spacing w:line="320" w:lineRule="exact"/>
        <w:rPr>
          <w:rFonts w:ascii="Microsoft New Tai Lue" w:hAnsi="Microsoft New Tai Lue" w:eastAsia="宋体" w:cs="Microsoft New Tai Lue"/>
          <w:b/>
          <w:color w:val="auto"/>
          <w:sz w:val="21"/>
          <w:szCs w:val="21"/>
        </w:rPr>
      </w:pPr>
      <w:r>
        <w:rPr>
          <w:rFonts w:hint="eastAsia" w:ascii="Microsoft New Tai Lue" w:hAnsi="Microsoft New Tai Lue" w:eastAsia="宋体" w:cs="Microsoft New Tai Lue"/>
          <w:b/>
          <w:color w:val="auto"/>
          <w:sz w:val="21"/>
          <w:szCs w:val="21"/>
        </w:rPr>
        <w:t xml:space="preserve">4.4</w:t>
      </w:r>
      <w:r>
        <w:rPr>
          <w:rFonts w:hint="eastAsia" w:ascii="Microsoft New Tai Lue" w:hAnsi="Microsoft New Tai Lue" w:eastAsia="宋体" w:cs="Microsoft New Tai Lue"/>
          <w:b/>
          <w:color w:val="auto"/>
          <w:sz w:val="21"/>
          <w:szCs w:val="21"/>
        </w:rPr>
        <w:t xml:space="preserve">绿色数据中心</w:t>
      </w:r>
      <w:r/>
    </w:p>
    <w:p>
      <w:pPr>
        <w:ind w:firstLine="420"/>
        <w:jc w:val="left"/>
        <w:spacing w:line="320" w:lineRule="exac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根据财政部</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生态环境部</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工业和信息化部关于印发《绿色数据中心政府采购需求标准（试行）》的通知（</w:t>
      </w:r>
      <w:r>
        <w:rPr>
          <w:rFonts w:hint="eastAsia" w:ascii="Microsoft New Tai Lue" w:hAnsi="Microsoft New Tai Lue" w:cs="Microsoft New Tai Lue"/>
          <w:szCs w:val="21"/>
        </w:rPr>
        <w:t xml:space="preserve"> </w:t>
      </w:r>
      <w:bookmarkStart w:id="9" w:name="sendNo"/>
      <w:r>
        <w:rPr>
          <w:rFonts w:hint="eastAsia" w:ascii="Microsoft New Tai Lue" w:hAnsi="Microsoft New Tai Lue" w:cs="Microsoft New Tai Lue"/>
          <w:szCs w:val="21"/>
        </w:rPr>
        <w:t xml:space="preserve">财库〔</w:t>
      </w:r>
      <w:r>
        <w:rPr>
          <w:rFonts w:hint="eastAsia" w:ascii="Microsoft New Tai Lue" w:hAnsi="Microsoft New Tai Lue" w:cs="Microsoft New Tai Lue"/>
          <w:szCs w:val="21"/>
        </w:rPr>
        <w:t xml:space="preserve">2023</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7</w:t>
      </w:r>
      <w:r>
        <w:rPr>
          <w:rFonts w:hint="eastAsia" w:ascii="Microsoft New Tai Lue" w:hAnsi="Microsoft New Tai Lue" w:cs="Microsoft New Tai Lue"/>
          <w:szCs w:val="21"/>
        </w:rPr>
        <w:t xml:space="preserve">号</w:t>
      </w:r>
      <w:bookmarkEnd w:id="9"/>
      <w:r>
        <w:rPr>
          <w:rFonts w:hint="eastAsia" w:ascii="Microsoft New Tai Lue" w:hAnsi="Microsoft New Tai Lue" w:cs="Microsoft New Tai Lue"/>
          <w:szCs w:val="21"/>
        </w:rPr>
        <w:t xml:space="preserve">）要求，</w:t>
      </w:r>
      <w:r/>
    </w:p>
    <w:p>
      <w:pPr>
        <w:ind w:firstLine="420"/>
        <w:jc w:val="left"/>
        <w:spacing w:line="320" w:lineRule="exac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4.4.1</w:t>
      </w:r>
      <w:r>
        <w:rPr>
          <w:rFonts w:hint="eastAsia" w:ascii="Microsoft New Tai Lue" w:hAnsi="Microsoft New Tai Lue" w:cs="Microsoft New Tai Lue"/>
          <w:szCs w:val="21"/>
        </w:rPr>
        <w:t xml:space="preserve">采购人采购数据中心相关设备、运维服务，应当有利于节约能源、环境保护和资源循环利用，按照《需求标准》实施相关采购活动。</w:t>
      </w:r>
      <w:r/>
    </w:p>
    <w:p>
      <w:pPr>
        <w:ind w:firstLine="420"/>
        <w:jc w:val="left"/>
        <w:spacing w:line="320" w:lineRule="exac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采购人应当加强采购需求管理，根据《需求标准》提出的指标编制数据中心相关设备、运维服务政府采购项目的采购文件，并在合同中明确对相关指标的验收方式和违约责任。</w:t>
      </w:r>
      <w:r/>
    </w:p>
    <w:p>
      <w:pPr>
        <w:ind w:firstLine="420"/>
        <w:jc w:val="left"/>
        <w:spacing w:line="320" w:lineRule="exac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采购人在项目的投标、响应环节，原则上不对数据中心相关设备、服务进行检测、认证，也不要求供应商提供检测报告、认证报告，供应商出具符合相关要求的承诺函可视为符合规定。</w:t>
      </w:r>
      <w:r/>
    </w:p>
    <w:p>
      <w:pPr>
        <w:ind w:firstLine="420"/>
        <w:jc w:val="left"/>
        <w:spacing w:line="320" w:lineRule="exac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jc w:val="left"/>
        <w:spacing w:line="320" w:lineRule="exac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rPr>
        <w:t xml:space="preserve">对于供应商未按合同约定提供设备或服务的，采购人应当依法追究其违约责任。对于供应商提供虚假材料谋取中标、成交的，依法予以处理。</w:t>
      </w:r>
      <w:r/>
    </w:p>
    <w:p>
      <w:pPr>
        <w:ind w:firstLine="422"/>
        <w:spacing w:line="320" w:lineRule="exact"/>
        <w:rPr>
          <w:rFonts w:ascii="Microsoft New Tai Lue" w:hAnsi="Microsoft New Tai Lue" w:cs="Microsoft New Tai Lue"/>
          <w:b/>
          <w:szCs w:val="21"/>
        </w:rPr>
      </w:pPr>
      <w:r>
        <w:rPr>
          <w:rFonts w:ascii="Microsoft New Tai Lue" w:hAnsi="Microsoft New Tai Lue" w:cs="Microsoft New Tai Lue"/>
          <w:b/>
          <w:szCs w:val="21"/>
        </w:rPr>
        <w:t xml:space="preserve">4.5</w:t>
      </w:r>
      <w:r>
        <w:rPr>
          <w:rFonts w:hint="eastAsia" w:ascii="Microsoft New Tai Lue" w:hAnsi="Microsoft New Tai Lue" w:cs="Microsoft New Tai Lue"/>
          <w:b/>
          <w:szCs w:val="21"/>
        </w:rPr>
        <w:t xml:space="preserve">信息安全产品</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依据《关于信息安全产品实施政府采购的通知》（财库〔</w:t>
      </w:r>
      <w:r>
        <w:rPr>
          <w:rFonts w:hint="eastAsia" w:ascii="Microsoft New Tai Lue" w:hAnsi="Microsoft New Tai Lue" w:cs="Microsoft New Tai Lue"/>
          <w:szCs w:val="21"/>
        </w:rPr>
        <w:t xml:space="preserve">2010</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48 </w:t>
      </w:r>
      <w:r>
        <w:rPr>
          <w:rFonts w:hint="eastAsia" w:ascii="Microsoft New Tai Lue" w:hAnsi="Microsoft New Tai Lue" w:cs="Microsoft New Tai Lue"/>
          <w:szCs w:val="21"/>
        </w:rPr>
        <w:t xml:space="preserve">号），所投产</w:t>
      </w:r>
      <w:r>
        <w:rPr>
          <w:rFonts w:hint="eastAsia" w:ascii="Microsoft New Tai Lue" w:hAnsi="Microsoft New Tai Lue" w:cs="Microsoft New Tai Lue"/>
          <w:szCs w:val="21"/>
        </w:rPr>
        <w:t xml:space="preserve">品属于</w:t>
      </w:r>
      <w:r>
        <w:rPr>
          <w:rFonts w:hint="eastAsia" w:ascii="Microsoft New Tai Lue" w:hAnsi="Microsoft New Tai Lue" w:cs="Microsoft New Tai Lue"/>
          <w:szCs w:val="21"/>
        </w:rPr>
        <w:t xml:space="preserve">《关于调整信息安全产品强制性认证实施要求的公告》（</w:t>
      </w:r>
      <w:r>
        <w:rPr>
          <w:rFonts w:hint="eastAsia" w:ascii="Microsoft New Tai Lue" w:hAnsi="Microsoft New Tai Lue" w:cs="Microsoft New Tai Lue"/>
          <w:szCs w:val="21"/>
        </w:rPr>
        <w:t xml:space="preserve">2009 </w:t>
      </w:r>
      <w:r>
        <w:rPr>
          <w:rFonts w:hint="eastAsia" w:ascii="Microsoft New Tai Lue" w:hAnsi="Microsoft New Tai Lue" w:cs="Microsoft New Tai Lue"/>
          <w:szCs w:val="21"/>
        </w:rPr>
        <w:t xml:space="preserve">年第</w:t>
      </w:r>
      <w:r>
        <w:rPr>
          <w:rFonts w:hint="eastAsia" w:ascii="Microsoft New Tai Lue" w:hAnsi="Microsoft New Tai Lue" w:cs="Microsoft New Tai Lue"/>
          <w:szCs w:val="21"/>
        </w:rPr>
        <w:t xml:space="preserve">33 </w:t>
      </w:r>
      <w:r>
        <w:rPr>
          <w:rFonts w:hint="eastAsia" w:ascii="Microsoft New Tai Lue" w:hAnsi="Microsoft New Tai Lue" w:cs="Microsoft New Tai Lue"/>
          <w:szCs w:val="21"/>
        </w:rPr>
        <w:t xml:space="preserve">号）范围的，应采用经国家认证的信息安全产品，否则投标无效。</w:t>
      </w:r>
      <w:r/>
    </w:p>
    <w:p>
      <w:pPr>
        <w:ind w:firstLine="420"/>
        <w:spacing w:line="320" w:lineRule="exact"/>
        <w:rPr>
          <w:rFonts w:ascii="Microsoft New Tai Lue" w:hAnsi="Microsoft New Tai Lue" w:cs="Microsoft New Tai Lue"/>
          <w:szCs w:val="21"/>
        </w:rPr>
      </w:pP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按要求提供相关材料的，不享受相关政策。</w:t>
      </w:r>
      <w:r/>
    </w:p>
    <w:p>
      <w:pPr>
        <w:ind w:firstLine="422"/>
        <w:spacing w:line="320" w:lineRule="exact"/>
        <w:rPr>
          <w:rFonts w:ascii="Microsoft New Tai Lue" w:hAnsi="Microsoft New Tai Lue" w:cs="Microsoft New Tai Lue"/>
          <w:b/>
          <w:szCs w:val="21"/>
        </w:rPr>
      </w:pPr>
      <w:r>
        <w:rPr>
          <w:rFonts w:hint="eastAsia" w:ascii="Microsoft New Tai Lue" w:hAnsi="Microsoft New Tai Lue" w:cs="Microsoft New Tai Lue"/>
          <w:b/>
          <w:szCs w:val="21"/>
        </w:rPr>
        <w:t xml:space="preserve">4.6 </w:t>
      </w:r>
      <w:r>
        <w:rPr>
          <w:rFonts w:ascii="Microsoft New Tai Lue" w:hAnsi="Microsoft New Tai Lue" w:cs="Microsoft New Tai Lue"/>
          <w:b/>
          <w:szCs w:val="21"/>
        </w:rPr>
        <w:t xml:space="preserve">电子履约保函</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保险</w:t>
      </w:r>
      <w:r>
        <w:rPr>
          <w:rFonts w:ascii="Microsoft New Tai Lue" w:hAnsi="Microsoft New Tai Lue" w:cs="Microsoft New Tai Lue"/>
          <w:b/>
          <w:szCs w:val="21"/>
        </w:rPr>
        <w:t xml:space="preserve">)</w:t>
      </w:r>
      <w:r/>
    </w:p>
    <w:p>
      <w:pPr>
        <w:ind w:firstLine="420"/>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根据兴化市财政局、地方金融监督管理局转发《江苏省财政厅</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国家金融监督管理总局江苏监管局</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江苏省地方金融监督管理局关于在全省政府采购领域推行电子履约保函（保险）的通知》（</w:t>
      </w:r>
      <w:r>
        <w:rPr>
          <w:rFonts w:ascii="Microsoft New Tai Lue" w:hAnsi="Microsoft New Tai Lue" w:cs="Microsoft New Tai Lue"/>
          <w:szCs w:val="21"/>
        </w:rPr>
        <w:t xml:space="preserve">兴财购〔</w:t>
      </w:r>
      <w:r>
        <w:rPr>
          <w:rFonts w:ascii="Microsoft New Tai Lue" w:hAnsi="Microsoft New Tai Lue" w:cs="Microsoft New Tai Lue"/>
          <w:szCs w:val="21"/>
        </w:rPr>
        <w:t xml:space="preserve">2023</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5</w:t>
      </w:r>
      <w:r>
        <w:rPr>
          <w:rFonts w:ascii="Microsoft New Tai Lue" w:hAnsi="Microsoft New Tai Lue" w:cs="Microsoft New Tai Lue"/>
          <w:szCs w:val="21"/>
        </w:rPr>
        <w:t xml:space="preserve">号</w:t>
      </w:r>
      <w:r>
        <w:rPr>
          <w:rFonts w:hint="eastAsia" w:ascii="Microsoft New Tai Lue" w:hAnsi="Microsoft New Tai Lue" w:cs="Microsoft New Tai Lue"/>
          <w:szCs w:val="21"/>
        </w:rPr>
        <w:t xml:space="preserve">）要求，</w:t>
      </w:r>
      <w:r>
        <w:rPr>
          <w:rFonts w:ascii="Microsoft New Tai Lue" w:hAnsi="Microsoft New Tai Lue" w:cs="Microsoft New Tai Lue"/>
          <w:szCs w:val="21"/>
        </w:rPr>
        <w:t xml:space="preserve">为优化政府采购营商环境，进一步降低供应商参与政府采购成本，</w:t>
      </w:r>
      <w:r>
        <w:rPr>
          <w:rFonts w:hint="eastAsia" w:ascii="Microsoft New Tai Lue" w:hAnsi="Microsoft New Tai Lue" w:cs="Microsoft New Tai Lue"/>
          <w:szCs w:val="21"/>
        </w:rPr>
        <w:t xml:space="preserve">我市全面启用政府采购履约保函（保险）。</w:t>
      </w:r>
      <w:r/>
    </w:p>
    <w:p>
      <w:pPr>
        <w:ind w:firstLine="420"/>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政府采购履约保函（保险）是指在政府采购活动中第三方机构向采购人提供的保证政府采购中标、成交供应</w:t>
      </w:r>
      <w:r>
        <w:rPr>
          <w:rFonts w:hint="eastAsia" w:ascii="Microsoft New Tai Lue" w:hAnsi="Microsoft New Tai Lue" w:cs="Microsoft New Tai Lue"/>
          <w:szCs w:val="21"/>
        </w:rPr>
        <w:t xml:space="preserve">商履行</w:t>
      </w:r>
      <w:r>
        <w:rPr>
          <w:rFonts w:hint="eastAsia" w:ascii="Microsoft New Tai Lue" w:hAnsi="Microsoft New Tai Lue" w:cs="Microsoft New Tai Lue"/>
          <w:szCs w:val="21"/>
        </w:rPr>
        <w:t xml:space="preserve">合同义务的担保或保险。如中标、成交供应</w:t>
      </w:r>
      <w:r>
        <w:rPr>
          <w:rFonts w:hint="eastAsia" w:ascii="Microsoft New Tai Lue" w:hAnsi="Microsoft New Tai Lue" w:cs="Microsoft New Tai Lue"/>
          <w:szCs w:val="21"/>
        </w:rPr>
        <w:t xml:space="preserve">商未能</w:t>
      </w:r>
      <w:r>
        <w:rPr>
          <w:rFonts w:hint="eastAsia" w:ascii="Microsoft New Tai Lue" w:hAnsi="Microsoft New Tai Lue" w:cs="Microsoft New Tai Lue"/>
          <w:szCs w:val="21"/>
        </w:rPr>
        <w:t xml:space="preserve">按照政府采购合同要求规范履行合同义务，由第三方机构按照采购文件约定的履约保证金数额对采购人承担赔偿责任。</w:t>
      </w:r>
      <w:r/>
    </w:p>
    <w:p>
      <w:pPr>
        <w:ind w:firstLine="420"/>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省财政厅通过政府采购流程确定开</w:t>
      </w:r>
      <w:r>
        <w:rPr>
          <w:rFonts w:hint="eastAsia" w:ascii="Microsoft New Tai Lue" w:hAnsi="Microsoft New Tai Lue" w:cs="Microsoft New Tai Lue"/>
          <w:szCs w:val="21"/>
        </w:rPr>
        <w:t xml:space="preserve">鑫</w:t>
      </w:r>
      <w:r>
        <w:rPr>
          <w:rFonts w:hint="eastAsia" w:ascii="Microsoft New Tai Lue" w:hAnsi="Microsoft New Tai Lue" w:cs="Microsoft New Tai Lue"/>
          <w:szCs w:val="21"/>
        </w:rPr>
        <w:t xml:space="preserve">科技有限公司为“政府采购电子履约保函（保险）平台”提供系统技术服务，符合条件的第三方机构与该司进行技术对接。平台可通过域名</w:t>
      </w:r>
      <w:r>
        <w:rPr>
          <w:rFonts w:hint="eastAsia" w:ascii="Microsoft New Tai Lue" w:hAnsi="Microsoft New Tai Lue" w:cs="Microsoft New Tai Lue"/>
          <w:szCs w:val="21"/>
        </w:rPr>
        <w:t xml:space="preserve">www.jsdzbh.com</w:t>
      </w:r>
      <w:r>
        <w:rPr>
          <w:rFonts w:hint="eastAsia" w:ascii="Microsoft New Tai Lue" w:hAnsi="Microsoft New Tai Lue" w:cs="Microsoft New Tai Lue"/>
          <w:szCs w:val="21"/>
        </w:rPr>
        <w:t xml:space="preserve">直接访问，也可通过江苏省政府采购网、“苏</w:t>
      </w:r>
      <w:r>
        <w:rPr>
          <w:rFonts w:hint="eastAsia" w:ascii="Microsoft New Tai Lue" w:hAnsi="Microsoft New Tai Lue" w:cs="Microsoft New Tai Lue"/>
          <w:szCs w:val="21"/>
        </w:rPr>
        <w:t xml:space="preserve">采云</w:t>
      </w:r>
      <w:r>
        <w:rPr>
          <w:rFonts w:hint="eastAsia" w:ascii="Microsoft New Tai Lue" w:hAnsi="Microsoft New Tai Lue" w:cs="Microsoft New Tai Lue"/>
          <w:szCs w:val="21"/>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20"/>
        <w:spacing w:line="320" w:lineRule="exact"/>
        <w:rPr>
          <w:rFonts w:ascii="Microsoft New Tai Lue" w:hAnsi="Microsoft New Tai Lue" w:cs="Microsoft New Tai Lue"/>
          <w:szCs w:val="21"/>
        </w:rPr>
      </w:pPr>
      <w:r>
        <w:rPr>
          <w:rFonts w:hint="eastAsia" w:ascii="Microsoft New Tai Lue" w:hAnsi="Microsoft New Tai Lue" w:cs="Microsoft New Tai Lue"/>
          <w:szCs w:val="21"/>
        </w:rPr>
        <w:t xml:space="preserve">供应商可登录江苏政府采购网“资料下载”栏目（网址：</w:t>
      </w:r>
      <w:hyperlink r:id="rId16" w:tooltip="www.ccgp-jiangsu.gov.cn/jiangsu/zlxz）下载" w:history="1">
        <w:r>
          <w:rPr>
            <w:rFonts w:hint="eastAsia" w:ascii="Microsoft New Tai Lue" w:hAnsi="Microsoft New Tai Lue" w:cs="Microsoft New Tai Lue"/>
            <w:szCs w:val="21"/>
          </w:rPr>
          <w:t xml:space="preserve">www.ccgp-jiangsu.gov.cn/jiangsu/zlxz</w:t>
        </w:r>
        <w:r>
          <w:rPr>
            <w:rFonts w:hint="eastAsia" w:ascii="Microsoft New Tai Lue" w:hAnsi="Microsoft New Tai Lue" w:cs="Microsoft New Tai Lue"/>
            <w:szCs w:val="21"/>
          </w:rPr>
          <w:t xml:space="preserve">）下载“政府采购电子履约</w:t>
        </w:r>
      </w:hyperlink>
      <w:r>
        <w:rPr>
          <w:rFonts w:hint="eastAsia" w:ascii="Microsoft New Tai Lue" w:hAnsi="Microsoft New Tai Lue" w:cs="Microsoft New Tai Lue"/>
          <w:szCs w:val="21"/>
        </w:rPr>
        <w:t xml:space="preserve">保函（保险）操作手册”。</w:t>
      </w:r>
      <w:r/>
    </w:p>
    <w:p>
      <w:pPr>
        <w:spacing w:line="320" w:lineRule="exact"/>
      </w:pPr>
      <w:r/>
      <w:r/>
    </w:p>
    <w:p>
      <w:pPr>
        <w:spacing w:line="320" w:lineRule="exact"/>
      </w:pPr>
      <w:r/>
      <w:r/>
    </w:p>
    <w:p>
      <w:pPr>
        <w:spacing w:line="320" w:lineRule="exact"/>
      </w:pPr>
      <w:r/>
      <w:r/>
    </w:p>
    <w:p>
      <w:pPr>
        <w:spacing w:line="320" w:lineRule="exact"/>
        <w:rPr>
          <w:color w:val="ff0000"/>
          <w:szCs w:val="21"/>
        </w:rPr>
      </w:pPr>
      <w:r>
        <w:rPr>
          <w:rFonts w:ascii="Times New Roman" w:hAnsi="Times New Roman"/>
          <w:color w:val="ff0000"/>
          <w:szCs w:val="21"/>
        </w:rPr>
        <w:t xml:space="preserve">（签订合同时提供相应证明材料核验（如：白皮书、彩页、手册、网站截图、具有</w:t>
      </w:r>
      <w:r>
        <w:rPr>
          <w:rFonts w:ascii="Times New Roman" w:hAnsi="Times New Roman"/>
          <w:color w:val="ff0000"/>
          <w:szCs w:val="21"/>
        </w:rPr>
        <w:t xml:space="preserve">CMA</w:t>
      </w:r>
      <w:r>
        <w:rPr>
          <w:rFonts w:ascii="Times New Roman" w:hAnsi="Times New Roman"/>
          <w:color w:val="ff0000"/>
          <w:szCs w:val="21"/>
        </w:rPr>
        <w:t xml:space="preserve">标识的检测报告等）供采购人核查）</w:t>
      </w:r>
      <w:r/>
    </w:p>
    <w:p>
      <w:pPr>
        <w:ind w:firstLine="562"/>
        <w:jc w:val="center"/>
        <w:spacing w:line="520" w:lineRule="exact"/>
        <w:rPr>
          <w:rFonts w:ascii="仿宋_GB2312" w:hAnsi="仿宋_GB2312" w:eastAsia="仿宋_GB2312" w:cs="仿宋_GB2312"/>
          <w:b/>
          <w:sz w:val="28"/>
          <w:szCs w:val="28"/>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仿宋_GB2312" w:hAnsi="仿宋_GB2312" w:eastAsia="仿宋_GB2312" w:cs="仿宋_GB2312"/>
          <w:b/>
          <w:sz w:val="28"/>
          <w:szCs w:val="28"/>
        </w:rPr>
      </w:r>
      <w:r/>
    </w:p>
    <w:p>
      <w:pPr>
        <w:jc w:val="center"/>
        <w:spacing w:line="720" w:lineRule="exact"/>
        <w:rPr>
          <w:rFonts w:ascii="黑体" w:hAnsi="黑体" w:eastAsia="黑体" w:cs="黑体"/>
          <w:b/>
          <w:sz w:val="48"/>
          <w:szCs w:val="48"/>
        </w:rPr>
        <w:outlineLvl w:val="0"/>
      </w:pPr>
      <w:r>
        <w:rPr>
          <w:rFonts w:hint="eastAsia" w:ascii="黑体" w:hAnsi="黑体" w:eastAsia="黑体" w:cs="黑体"/>
          <w:b/>
          <w:sz w:val="48"/>
          <w:szCs w:val="48"/>
        </w:rPr>
        <w:t xml:space="preserve">总  目  录</w:t>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磋商邀请……</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 3</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供应商须知……</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 6</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20</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24</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评审方法与评审标准……</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29</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响应文件格式……</w:t>
      </w:r>
      <w:r>
        <w:rPr>
          <w:rFonts w:hint="eastAsia" w:ascii="黑体" w:hAnsi="黑体" w:eastAsia="黑体" w:cs="黑体"/>
          <w:bCs/>
          <w:sz w:val="36"/>
          <w:szCs w:val="36"/>
        </w:rPr>
        <w:t xml:space="preserve">…………………………</w:t>
      </w:r>
      <w:r>
        <w:rPr>
          <w:rFonts w:hint="eastAsia" w:ascii="黑体" w:hAnsi="黑体" w:eastAsia="黑体" w:cs="黑体"/>
          <w:bCs/>
          <w:sz w:val="36"/>
          <w:szCs w:val="36"/>
        </w:rPr>
        <w:t xml:space="preserve">33</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jc w:val="center"/>
        <w:keepNext/>
        <w:spacing w:line="520" w:lineRule="exact"/>
        <w:rPr>
          <w:rFonts w:ascii="黑体" w:hAnsi="黑体" w:eastAsia="黑体" w:cs="黑体"/>
          <w:sz w:val="36"/>
          <w:szCs w:val="36"/>
        </w:rPr>
        <w:sectPr>
          <w:footnotePr/>
          <w:endnotePr/>
          <w:type w:val="nextPage"/>
          <w:pgSz w:w="11906" w:h="16838" w:orient="portrait"/>
          <w:pgMar w:top="1417" w:right="1474" w:bottom="1134" w:left="1474" w:header="851" w:footer="907" w:gutter="0"/>
          <w:cols w:num="1" w:sep="0" w:space="0" w:equalWidth="1"/>
          <w:docGrid w:linePitch="360"/>
          <w:titlePg/>
        </w:sectPr>
        <w:outlineLvl w:val="0"/>
      </w:pPr>
      <w:r>
        <w:rPr>
          <w:rFonts w:ascii="黑体" w:hAnsi="黑体" w:eastAsia="黑体" w:cs="黑体"/>
          <w:sz w:val="36"/>
          <w:szCs w:val="36"/>
        </w:rPr>
      </w:r>
      <w:r/>
    </w:p>
    <w:p>
      <w:pPr>
        <w:jc w:val="center"/>
        <w:keepNext/>
        <w:spacing w:line="520" w:lineRule="exact"/>
        <w:rPr>
          <w:rFonts w:ascii="黑体" w:hAnsi="黑体" w:eastAsia="黑体" w:cs="黑体"/>
          <w:sz w:val="36"/>
          <w:szCs w:val="36"/>
        </w:rPr>
        <w:outlineLvl w:val="0"/>
      </w:pPr>
      <w:r>
        <w:rPr>
          <w:rFonts w:hint="eastAsia" w:ascii="黑体" w:hAnsi="黑体" w:eastAsia="黑体" w:cs="黑体"/>
          <w:sz w:val="36"/>
          <w:szCs w:val="36"/>
        </w:rPr>
        <w:t xml:space="preserve">第一章  </w:t>
      </w:r>
      <w:bookmarkEnd w:id="0"/>
      <w:r>
        <w:rPr>
          <w:rFonts w:hint="eastAsia" w:ascii="黑体" w:hAnsi="黑体" w:eastAsia="黑体" w:cs="黑体"/>
          <w:sz w:val="36"/>
          <w:szCs w:val="36"/>
        </w:rPr>
        <w:t xml:space="preserve">磋商邀请</w:t>
      </w:r>
      <w:r/>
    </w:p>
    <w:tbl>
      <w:tblPr>
        <w:tblW w:w="8946" w:type="dxa"/>
        <w:tblBorders>
          <w:top w:val="single" w:color="auto" w:sz="6" w:space="0"/>
          <w:left w:val="single" w:color="auto" w:sz="6" w:space="0"/>
          <w:bottom w:val="single" w:color="auto" w:sz="6" w:space="0"/>
          <w:right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946"/>
      </w:tblGrid>
      <w:tr>
        <w:trPr/>
        <w:tc>
          <w:tcPr>
            <w:tcBorders>
              <w:top w:val="single" w:color="auto" w:sz="6" w:space="0"/>
              <w:left w:val="single" w:color="auto" w:sz="6" w:space="0"/>
              <w:bottom w:val="single" w:color="auto" w:sz="6" w:space="0"/>
              <w:right w:val="single" w:color="auto" w:sz="6" w:space="0"/>
            </w:tcBorders>
            <w:tcW w:w="8946" w:type="dxa"/>
            <w:vAlign w:val="center"/>
            <w:textDirection w:val="lrTb"/>
            <w:noWrap w:val="false"/>
          </w:tcPr>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项目概况</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兴化市财政局网络安全等级保护整改</w:t>
            </w:r>
            <w:r>
              <w:rPr>
                <w:rFonts w:hint="eastAsia" w:asciiTheme="minorEastAsia" w:hAnsiTheme="minorEastAsia" w:eastAsiaTheme="minorEastAsia"/>
                <w:sz w:val="24"/>
                <w:szCs w:val="24"/>
                <w:shd w:val="clear" w:color="auto" w:fill="f2f2f2"/>
              </w:rPr>
              <w:t xml:space="preserve"> </w:t>
            </w:r>
            <w:r>
              <w:rPr>
                <w:rFonts w:hint="eastAsia" w:asciiTheme="minorEastAsia" w:hAnsiTheme="minorEastAsia" w:eastAsiaTheme="minorEastAsia"/>
                <w:sz w:val="24"/>
                <w:szCs w:val="24"/>
                <w:shd w:val="clear" w:color="auto" w:fill="f2f2f2"/>
              </w:rPr>
              <w:t xml:space="preserve">JSZC-321281-JZCG-C2025-0019</w:t>
            </w:r>
            <w:r>
              <w:rPr>
                <w:rFonts w:hint="eastAsia" w:asciiTheme="minorEastAsia" w:hAnsiTheme="minorEastAsia" w:eastAsiaTheme="minorEastAsia"/>
                <w:sz w:val="24"/>
                <w:szCs w:val="24"/>
              </w:rPr>
              <w:t xml:space="preserve">采购项目的潜在供应商应在</w:t>
            </w:r>
            <w:r>
              <w:rPr>
                <w:rFonts w:hint="eastAsia" w:asciiTheme="minorEastAsia" w:hAnsiTheme="minorEastAsia" w:eastAsiaTheme="minorEastAsia"/>
                <w:sz w:val="24"/>
                <w:szCs w:val="24"/>
                <w:shd w:val="clear" w:color="auto" w:fill="f2f2f2"/>
              </w:rPr>
              <w:t xml:space="preserve">“苏</w:t>
            </w:r>
            <w:r>
              <w:rPr>
                <w:rFonts w:hint="eastAsia" w:asciiTheme="minorEastAsia" w:hAnsiTheme="minorEastAsia" w:eastAsiaTheme="minorEastAsia"/>
                <w:sz w:val="24"/>
                <w:szCs w:val="24"/>
                <w:shd w:val="clear" w:color="auto" w:fill="f2f2f2"/>
              </w:rPr>
              <w:t xml:space="preserve">采云</w:t>
            </w:r>
            <w:r>
              <w:rPr>
                <w:rFonts w:hint="eastAsia" w:asciiTheme="minorEastAsia" w:hAnsiTheme="minorEastAsia" w:eastAsiaTheme="minorEastAsia"/>
                <w:sz w:val="24"/>
                <w:szCs w:val="24"/>
                <w:shd w:val="clear" w:color="auto" w:fill="f2f2f2"/>
              </w:rPr>
              <w:t xml:space="preserve">”政府采购交易系统</w:t>
            </w:r>
            <w:r>
              <w:rPr>
                <w:rFonts w:hint="eastAsia" w:asciiTheme="minorEastAsia" w:hAnsiTheme="minorEastAsia" w:eastAsiaTheme="minorEastAsia"/>
                <w:sz w:val="24"/>
                <w:szCs w:val="24"/>
              </w:rPr>
              <w:t xml:space="preserve"> 获取采购文件，并于</w:t>
            </w:r>
            <w:r>
              <w:rPr>
                <w:rFonts w:hint="eastAsia" w:asciiTheme="minorEastAsia" w:hAnsiTheme="minorEastAsia" w:eastAsiaTheme="minorEastAsia"/>
                <w:sz w:val="24"/>
                <w:szCs w:val="24"/>
                <w:shd w:val="clear" w:color="auto" w:fill="f2f2f2"/>
              </w:rPr>
              <w:t xml:space="preserve">2025-</w:t>
            </w:r>
            <w:r>
              <w:rPr>
                <w:rFonts w:asciiTheme="minorEastAsia" w:hAnsiTheme="minorEastAsia" w:eastAsiaTheme="minorEastAsia"/>
                <w:sz w:val="24"/>
                <w:szCs w:val="24"/>
                <w:shd w:val="clear" w:color="auto" w:fill="f2f2f2"/>
              </w:rPr>
              <w:t xml:space="preserve">11</w:t>
            </w:r>
            <w:r>
              <w:rPr>
                <w:rFonts w:hint="eastAsia" w:asciiTheme="minorEastAsia" w:hAnsiTheme="minorEastAsia" w:eastAsiaTheme="minorEastAsia"/>
                <w:sz w:val="24"/>
                <w:szCs w:val="24"/>
                <w:shd w:val="clear" w:color="auto" w:fill="f2f2f2"/>
              </w:rPr>
              <w:t xml:space="preserve">-</w:t>
            </w:r>
            <w:r>
              <w:rPr>
                <w:rFonts w:asciiTheme="minorEastAsia" w:hAnsiTheme="minorEastAsia" w:eastAsiaTheme="minorEastAsia"/>
                <w:sz w:val="24"/>
                <w:szCs w:val="24"/>
                <w:shd w:val="clear" w:color="auto" w:fill="f2f2f2"/>
              </w:rPr>
              <w:t xml:space="preserve">18</w:t>
            </w:r>
            <w:r>
              <w:rPr>
                <w:rFonts w:hint="eastAsia" w:asciiTheme="minorEastAsia" w:hAnsiTheme="minorEastAsia" w:eastAsiaTheme="minorEastAsia"/>
                <w:sz w:val="24"/>
                <w:szCs w:val="24"/>
                <w:shd w:val="clear" w:color="auto" w:fill="f2f2f2"/>
              </w:rPr>
              <w:t xml:space="preserve"> 14:30</w:t>
            </w:r>
            <w:r>
              <w:rPr>
                <w:rFonts w:cs="Calibri"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（北京时间）前提交响应文件。</w:t>
            </w:r>
            <w:r/>
          </w:p>
        </w:tc>
      </w:tr>
    </w:tbl>
    <w:p>
      <w:pPr>
        <w:pStyle w:val="732"/>
        <w:spacing w:line="400" w:lineRule="exact"/>
        <w:rPr>
          <w:rFonts w:asciiTheme="minorEastAsia" w:hAnsiTheme="minorEastAsia" w:eastAsiaTheme="minorEastAsia"/>
          <w:sz w:val="24"/>
          <w:szCs w:val="24"/>
        </w:rPr>
      </w:pPr>
      <w:r>
        <w:rPr>
          <w:rStyle w:val="779"/>
          <w:rFonts w:hint="eastAsia" w:asciiTheme="minorEastAsia" w:hAnsiTheme="minorEastAsia" w:eastAsiaTheme="minorEastAsia"/>
          <w:b w:val="0"/>
          <w:bCs w:val="0"/>
          <w:sz w:val="24"/>
          <w:szCs w:val="24"/>
        </w:rPr>
        <w:t xml:space="preserve">一、项目基本情况</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项目编号：</w:t>
      </w:r>
      <w:r>
        <w:rPr>
          <w:rFonts w:hint="eastAsia" w:asciiTheme="minorEastAsia" w:hAnsiTheme="minorEastAsia" w:eastAsiaTheme="minorEastAsia"/>
          <w:sz w:val="24"/>
          <w:szCs w:val="24"/>
          <w:shd w:val="clear" w:color="auto" w:fill="f2f2f2"/>
        </w:rPr>
        <w:t xml:space="preserve">JSZC-321281-JZCG-C2025-0019</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项目名称：兴化市财政局网络安全等级保护整改</w:t>
      </w:r>
      <w:r>
        <w:rPr>
          <w:rFonts w:cs="Calibri" w:asciiTheme="minorEastAsia" w:hAnsiTheme="minorEastAsia" w:eastAsiaTheme="minorEastAsia"/>
          <w:sz w:val="24"/>
          <w:szCs w:val="24"/>
        </w:rPr>
        <w:t xml:space="preserve"> </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采购方式：</w:t>
      </w:r>
      <w:r>
        <w:rPr>
          <w:rFonts w:hint="eastAsia" w:asciiTheme="minorEastAsia" w:hAnsiTheme="minorEastAsia" w:eastAsiaTheme="minorEastAsia"/>
          <w:sz w:val="24"/>
          <w:szCs w:val="24"/>
          <w:shd w:val="clear" w:color="auto" w:fill="f2f2f2"/>
        </w:rPr>
        <w:t xml:space="preserve">竞争性磋商</w:t>
      </w:r>
      <w:r>
        <w:rPr>
          <w:rFonts w:cs="Calibri" w:asciiTheme="minorEastAsia" w:hAnsiTheme="minorEastAsia" w:eastAsiaTheme="minorEastAsia"/>
          <w:sz w:val="24"/>
          <w:szCs w:val="24"/>
        </w:rPr>
        <w:t xml:space="preserve"> </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预算金额：</w:t>
      </w:r>
      <w:r>
        <w:rPr>
          <w:rFonts w:hint="eastAsia" w:asciiTheme="minorEastAsia" w:hAnsiTheme="minorEastAsia" w:eastAsiaTheme="minorEastAsia"/>
          <w:sz w:val="24"/>
          <w:szCs w:val="24"/>
          <w:shd w:val="clear" w:color="auto" w:fill="f2f2f2"/>
        </w:rPr>
        <w:t xml:space="preserve">45.000000万元</w:t>
      </w:r>
      <w:r>
        <w:rPr>
          <w:rFonts w:cs="Calibri" w:asciiTheme="minorEastAsia" w:hAnsiTheme="minorEastAsia" w:eastAsiaTheme="minorEastAsia"/>
          <w:sz w:val="24"/>
          <w:szCs w:val="24"/>
        </w:rPr>
        <w:t xml:space="preserve"> </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最高限价（如有）：</w:t>
      </w:r>
      <w:r>
        <w:rPr>
          <w:rFonts w:hint="eastAsia" w:asciiTheme="minorEastAsia" w:hAnsiTheme="minorEastAsia" w:eastAsiaTheme="minorEastAsia"/>
          <w:sz w:val="24"/>
          <w:szCs w:val="24"/>
          <w:shd w:val="clear" w:color="auto" w:fill="f2f2f2"/>
        </w:rPr>
        <w:t xml:space="preserve">人民币</w:t>
      </w:r>
      <w:r>
        <w:rPr>
          <w:rFonts w:hint="eastAsia" w:asciiTheme="minorEastAsia" w:hAnsiTheme="minorEastAsia" w:eastAsiaTheme="minorEastAsia"/>
          <w:sz w:val="24"/>
          <w:szCs w:val="24"/>
          <w:shd w:val="clear" w:color="auto" w:fill="f2f2f2"/>
        </w:rPr>
        <w:t xml:space="preserve">肆拾伍万</w:t>
      </w:r>
      <w:r>
        <w:rPr>
          <w:rFonts w:hint="eastAsia" w:asciiTheme="minorEastAsia" w:hAnsiTheme="minorEastAsia" w:eastAsiaTheme="minorEastAsia"/>
          <w:sz w:val="24"/>
          <w:szCs w:val="24"/>
          <w:shd w:val="clear" w:color="auto" w:fill="f2f2f2"/>
        </w:rPr>
        <w:t xml:space="preserve">元（￥：45.00万元）</w:t>
      </w:r>
      <w:r>
        <w:rPr>
          <w:rFonts w:cs="Calibri" w:asciiTheme="minorEastAsia" w:hAnsiTheme="minorEastAsia" w:eastAsiaTheme="minorEastAsia"/>
          <w:sz w:val="24"/>
          <w:szCs w:val="24"/>
        </w:rPr>
        <w:t xml:space="preserve"> </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采购需求：兴化市财政局网络安全等级保护整改</w:t>
      </w:r>
      <w:r>
        <w:rPr>
          <w:rFonts w:hint="eastAsia" w:cs="仿宋" w:asciiTheme="minorEastAsia" w:hAnsiTheme="minorEastAsia" w:eastAsiaTheme="minorEastAsia"/>
          <w:color w:val="000000"/>
          <w:sz w:val="24"/>
          <w:szCs w:val="24"/>
        </w:rPr>
        <w:t xml:space="preserve">（详细内容见本磋商文件第四章）</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合同履行期限：</w:t>
      </w:r>
      <w:r>
        <w:rPr>
          <w:rFonts w:hint="eastAsia" w:asciiTheme="minorEastAsia" w:hAnsiTheme="minorEastAsia" w:eastAsiaTheme="minorEastAsia"/>
          <w:sz w:val="24"/>
          <w:szCs w:val="24"/>
          <w:shd w:val="clear" w:color="auto" w:fill="f2f2f2"/>
        </w:rPr>
        <w:t xml:space="preserve">合同签订后</w:t>
      </w:r>
      <w:r>
        <w:rPr>
          <w:rFonts w:hint="eastAsia" w:ascii="宋体" w:hAnsi="宋体"/>
          <w:sz w:val="24"/>
          <w:szCs w:val="24"/>
        </w:rPr>
        <w:t xml:space="preserve">20天内按采购人要求安装调试到位。</w:t>
      </w:r>
      <w:r>
        <w:rPr>
          <w:rFonts w:hint="eastAsia" w:asciiTheme="minorEastAsia" w:hAnsiTheme="minorEastAsia" w:eastAsiaTheme="minorEastAsia"/>
          <w:sz w:val="24"/>
          <w:szCs w:val="24"/>
          <w:shd w:val="clear" w:color="auto" w:fill="f2f2f2"/>
        </w:rPr>
        <w:t xml:space="preserve"> </w:t>
      </w:r>
      <w:r>
        <w:rPr>
          <w:rFonts w:cs="Calibri" w:asciiTheme="minorEastAsia" w:hAnsiTheme="minorEastAsia" w:eastAsiaTheme="minorEastAsia"/>
          <w:sz w:val="24"/>
          <w:szCs w:val="24"/>
        </w:rPr>
        <w:t xml:space="preserve"> </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本项目（是/否）接受联合体：</w:t>
      </w:r>
      <w:r>
        <w:rPr>
          <w:rFonts w:hint="eastAsia" w:asciiTheme="minorEastAsia" w:hAnsiTheme="minorEastAsia" w:eastAsiaTheme="minorEastAsia"/>
          <w:sz w:val="24"/>
          <w:szCs w:val="24"/>
          <w:shd w:val="clear" w:color="auto" w:fill="f2f2f2"/>
        </w:rPr>
        <w:t xml:space="preserve">否</w:t>
      </w:r>
      <w:r>
        <w:rPr>
          <w:rFonts w:cs="Calibri" w:asciiTheme="minorEastAsia" w:hAnsiTheme="minorEastAsia" w:eastAsiaTheme="minorEastAsia"/>
          <w:sz w:val="24"/>
          <w:szCs w:val="24"/>
        </w:rPr>
        <w:t xml:space="preserve"> </w:t>
      </w:r>
      <w:r/>
    </w:p>
    <w:p>
      <w:pPr>
        <w:pStyle w:val="732"/>
        <w:spacing w:line="400" w:lineRule="exact"/>
        <w:rPr>
          <w:rFonts w:asciiTheme="minorEastAsia" w:hAnsiTheme="minorEastAsia" w:eastAsiaTheme="minorEastAsia"/>
          <w:sz w:val="24"/>
          <w:szCs w:val="24"/>
        </w:rPr>
      </w:pPr>
      <w:r>
        <w:rPr>
          <w:rStyle w:val="779"/>
          <w:rFonts w:hint="eastAsia" w:asciiTheme="minorEastAsia" w:hAnsiTheme="minorEastAsia" w:eastAsiaTheme="minorEastAsia"/>
          <w:b w:val="0"/>
          <w:bCs w:val="0"/>
          <w:sz w:val="24"/>
          <w:szCs w:val="24"/>
        </w:rPr>
        <w:t xml:space="preserve">二、申请人的资格要求：</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（一）满足《中华人民共和国政府采购法》第二十二条规定：</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1.法人或者其他组织的营业执照等证明文件，自然人的身份证明。</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2.上一年度的财务状况报告（成立不满一年不需提供）。</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3.依法缴纳税收和社会保障资金的相关材料。</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4.具备履行合同所必需的设备和专业技术能力的书面声明。</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5.参加政府采购活动前3年内在经营活动中没有重大违法记录的书面声明。</w:t>
      </w:r>
      <w:r/>
    </w:p>
    <w:p>
      <w:pPr>
        <w:pStyle w:val="777"/>
        <w:spacing w:line="400" w:lineRule="exact"/>
        <w:rPr>
          <w:rFonts w:asciiTheme="minorEastAsia" w:hAnsiTheme="minorEastAsia" w:eastAsiaTheme="minorEastAsia"/>
        </w:rPr>
      </w:pPr>
      <w:r>
        <w:rPr>
          <w:rFonts w:hint="eastAsia" w:asciiTheme="minorEastAsia" w:hAnsiTheme="minorEastAsia" w:eastAsiaTheme="minorEastAsia"/>
          <w:sz w:val="24"/>
          <w:szCs w:val="24"/>
        </w:rPr>
        <w:t xml:space="preserve">（二）落实政府采购政策需满足的资格要求：</w:t>
      </w:r>
      <w:r>
        <w:rPr>
          <w:rFonts w:hint="eastAsia" w:asciiTheme="minorEastAsia" w:hAnsiTheme="minorEastAsia" w:eastAsiaTheme="minorEastAsia"/>
        </w:rPr>
        <w:t xml:space="preserve">本项目非专门面向中小企业采购</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（三）本项目的特定资格要求：</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1.未被“信用中国”网站（www.creditchina.gov.cn）列入失信被执行人、重大税收违法案件当事人名单、政府采购严重失信行为记录名单。</w:t>
      </w:r>
      <w:r/>
    </w:p>
    <w:p>
      <w:pPr>
        <w:pStyle w:val="732"/>
        <w:spacing w:line="400" w:lineRule="exact"/>
        <w:rPr>
          <w:rFonts w:asciiTheme="minorEastAsia" w:hAnsiTheme="minorEastAsia" w:eastAsiaTheme="minorEastAsia"/>
          <w:sz w:val="24"/>
          <w:szCs w:val="24"/>
        </w:rPr>
      </w:pPr>
      <w:r>
        <w:rPr>
          <w:rStyle w:val="779"/>
          <w:rFonts w:hint="eastAsia" w:asciiTheme="minorEastAsia" w:hAnsiTheme="minorEastAsia" w:eastAsiaTheme="minorEastAsia"/>
          <w:b w:val="0"/>
          <w:bCs w:val="0"/>
          <w:sz w:val="24"/>
          <w:szCs w:val="24"/>
        </w:rPr>
        <w:t xml:space="preserve">三、获取采购文件</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时间：</w:t>
      </w:r>
      <w:r>
        <w:rPr>
          <w:rFonts w:hint="eastAsia" w:asciiTheme="minorEastAsia" w:hAnsiTheme="minorEastAsia" w:eastAsiaTheme="minorEastAsia"/>
          <w:sz w:val="24"/>
          <w:szCs w:val="24"/>
          <w:shd w:val="clear" w:color="auto" w:fill="f2f2f2"/>
        </w:rPr>
        <w:t xml:space="preserve">自磋商文件公告发布之日起5个工作日</w:t>
      </w:r>
      <w:r>
        <w:rPr>
          <w:rFonts w:cs="Calibri" w:asciiTheme="minorEastAsia" w:hAnsiTheme="minorEastAsia" w:eastAsiaTheme="minorEastAsia"/>
          <w:sz w:val="24"/>
          <w:szCs w:val="24"/>
        </w:rPr>
        <w:t xml:space="preserve"> </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地点：</w:t>
      </w:r>
      <w:r>
        <w:rPr>
          <w:rFonts w:hint="eastAsia" w:asciiTheme="minorEastAsia" w:hAnsiTheme="minorEastAsia" w:eastAsiaTheme="minorEastAsia"/>
          <w:sz w:val="24"/>
          <w:szCs w:val="24"/>
          <w:shd w:val="clear" w:color="auto" w:fill="f2f2f2"/>
        </w:rPr>
        <w:t xml:space="preserve">在“苏</w:t>
      </w:r>
      <w:r>
        <w:rPr>
          <w:rFonts w:hint="eastAsia" w:asciiTheme="minorEastAsia" w:hAnsiTheme="minorEastAsia" w:eastAsiaTheme="minorEastAsia"/>
          <w:sz w:val="24"/>
          <w:szCs w:val="24"/>
          <w:shd w:val="clear" w:color="auto" w:fill="f2f2f2"/>
        </w:rPr>
        <w:t xml:space="preserve">采云</w:t>
      </w:r>
      <w:r>
        <w:rPr>
          <w:rFonts w:hint="eastAsia" w:asciiTheme="minorEastAsia" w:hAnsiTheme="minorEastAsia" w:eastAsiaTheme="minorEastAsia"/>
          <w:sz w:val="24"/>
          <w:szCs w:val="24"/>
          <w:shd w:val="clear" w:color="auto" w:fill="f2f2f2"/>
        </w:rPr>
        <w:t xml:space="preserve">”政府采购交易系统</w:t>
      </w:r>
      <w:r>
        <w:rPr>
          <w:rFonts w:cs="Calibri" w:asciiTheme="minorEastAsia" w:hAnsiTheme="minorEastAsia" w:eastAsiaTheme="minorEastAsia"/>
          <w:sz w:val="24"/>
          <w:szCs w:val="24"/>
        </w:rPr>
        <w:t xml:space="preserve"> </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方式：</w:t>
      </w:r>
      <w:r>
        <w:rPr>
          <w:rFonts w:hint="eastAsia" w:asciiTheme="minorEastAsia" w:hAnsiTheme="minorEastAsia" w:eastAsiaTheme="minorEastAsia"/>
          <w:sz w:val="24"/>
          <w:szCs w:val="24"/>
          <w:shd w:val="clear" w:color="auto" w:fill="f2f2f2"/>
        </w:rPr>
        <w:t xml:space="preserve">在“苏</w:t>
      </w:r>
      <w:r>
        <w:rPr>
          <w:rFonts w:hint="eastAsia" w:asciiTheme="minorEastAsia" w:hAnsiTheme="minorEastAsia" w:eastAsiaTheme="minorEastAsia"/>
          <w:sz w:val="24"/>
          <w:szCs w:val="24"/>
          <w:shd w:val="clear" w:color="auto" w:fill="f2f2f2"/>
        </w:rPr>
        <w:t xml:space="preserve">采云</w:t>
      </w:r>
      <w:r>
        <w:rPr>
          <w:rFonts w:hint="eastAsia" w:asciiTheme="minorEastAsia" w:hAnsiTheme="minorEastAsia" w:eastAsiaTheme="minorEastAsia"/>
          <w:sz w:val="24"/>
          <w:szCs w:val="24"/>
          <w:shd w:val="clear" w:color="auto" w:fill="f2f2f2"/>
        </w:rPr>
        <w:t xml:space="preserve">”政府采购交易系统自行免费下载磋商文件</w:t>
      </w:r>
      <w:r>
        <w:rPr>
          <w:rFonts w:cs="Calibri" w:asciiTheme="minorEastAsia" w:hAnsiTheme="minorEastAsia" w:eastAsiaTheme="minorEastAsia"/>
          <w:sz w:val="24"/>
          <w:szCs w:val="24"/>
        </w:rPr>
        <w:t xml:space="preserve"> </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售价：</w:t>
      </w:r>
      <w:r>
        <w:rPr>
          <w:rFonts w:hint="eastAsia" w:asciiTheme="minorEastAsia" w:hAnsiTheme="minorEastAsia" w:eastAsiaTheme="minorEastAsia"/>
          <w:sz w:val="24"/>
          <w:szCs w:val="24"/>
          <w:shd w:val="clear" w:color="auto" w:fill="f2f2f2"/>
        </w:rPr>
        <w:t xml:space="preserve">0.00元</w:t>
      </w:r>
      <w:r>
        <w:rPr>
          <w:rFonts w:cs="Calibri" w:asciiTheme="minorEastAsia" w:hAnsiTheme="minorEastAsia" w:eastAsiaTheme="minorEastAsia"/>
          <w:sz w:val="24"/>
          <w:szCs w:val="24"/>
        </w:rPr>
        <w:t xml:space="preserve"> </w:t>
      </w:r>
      <w:r/>
    </w:p>
    <w:p>
      <w:pPr>
        <w:pStyle w:val="732"/>
        <w:spacing w:line="400" w:lineRule="exact"/>
        <w:rPr>
          <w:rFonts w:asciiTheme="minorEastAsia" w:hAnsiTheme="minorEastAsia" w:eastAsiaTheme="minorEastAsia"/>
          <w:sz w:val="24"/>
          <w:szCs w:val="24"/>
        </w:rPr>
      </w:pPr>
      <w:r>
        <w:rPr>
          <w:rStyle w:val="779"/>
          <w:rFonts w:hint="eastAsia" w:asciiTheme="minorEastAsia" w:hAnsiTheme="minorEastAsia" w:eastAsiaTheme="minorEastAsia"/>
          <w:b w:val="0"/>
          <w:bCs w:val="0"/>
          <w:sz w:val="24"/>
          <w:szCs w:val="24"/>
        </w:rPr>
        <w:t xml:space="preserve">四、响应文件提交</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截止时间：</w:t>
      </w:r>
      <w:r>
        <w:rPr>
          <w:rFonts w:hint="eastAsia" w:asciiTheme="minorEastAsia" w:hAnsiTheme="minorEastAsia" w:eastAsiaTheme="minorEastAsia"/>
          <w:sz w:val="24"/>
          <w:szCs w:val="24"/>
          <w:shd w:val="clear" w:color="auto" w:fill="f2f2f2"/>
        </w:rPr>
        <w:t xml:space="preserve">2025-</w:t>
      </w:r>
      <w:r>
        <w:rPr>
          <w:rFonts w:asciiTheme="minorEastAsia" w:hAnsiTheme="minorEastAsia" w:eastAsiaTheme="minorEastAsia"/>
          <w:sz w:val="24"/>
          <w:szCs w:val="24"/>
          <w:shd w:val="clear" w:color="auto" w:fill="f2f2f2"/>
        </w:rPr>
        <w:t xml:space="preserve">11</w:t>
      </w:r>
      <w:r>
        <w:rPr>
          <w:rFonts w:hint="eastAsia" w:asciiTheme="minorEastAsia" w:hAnsiTheme="minorEastAsia" w:eastAsiaTheme="minorEastAsia"/>
          <w:sz w:val="24"/>
          <w:szCs w:val="24"/>
          <w:shd w:val="clear" w:color="auto" w:fill="f2f2f2"/>
        </w:rPr>
        <w:t xml:space="preserve">-</w:t>
      </w:r>
      <w:r>
        <w:rPr>
          <w:rFonts w:asciiTheme="minorEastAsia" w:hAnsiTheme="minorEastAsia" w:eastAsiaTheme="minorEastAsia"/>
          <w:sz w:val="24"/>
          <w:szCs w:val="24"/>
          <w:shd w:val="clear" w:color="auto" w:fill="f2f2f2"/>
        </w:rPr>
        <w:t xml:space="preserve">18</w:t>
      </w:r>
      <w:r>
        <w:rPr>
          <w:rFonts w:hint="eastAsia" w:asciiTheme="minorEastAsia" w:hAnsiTheme="minorEastAsia" w:eastAsiaTheme="minorEastAsia"/>
          <w:sz w:val="24"/>
          <w:szCs w:val="24"/>
          <w:shd w:val="clear" w:color="auto" w:fill="f2f2f2"/>
        </w:rPr>
        <w:t xml:space="preserve"> 14:30</w:t>
      </w:r>
      <w:r>
        <w:rPr>
          <w:rFonts w:cs="Calibri"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（北京时间）</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地点：</w:t>
      </w:r>
      <w:r>
        <w:rPr>
          <w:rFonts w:hint="eastAsia" w:asciiTheme="minorEastAsia" w:hAnsiTheme="minorEastAsia" w:eastAsiaTheme="minorEastAsia"/>
          <w:sz w:val="24"/>
          <w:szCs w:val="24"/>
          <w:shd w:val="clear" w:color="auto" w:fill="f2f2f2"/>
        </w:rPr>
        <w:t xml:space="preserve">在“苏</w:t>
      </w:r>
      <w:r>
        <w:rPr>
          <w:rFonts w:hint="eastAsia" w:asciiTheme="minorEastAsia" w:hAnsiTheme="minorEastAsia" w:eastAsiaTheme="minorEastAsia"/>
          <w:sz w:val="24"/>
          <w:szCs w:val="24"/>
          <w:shd w:val="clear" w:color="auto" w:fill="f2f2f2"/>
        </w:rPr>
        <w:t xml:space="preserve">采云</w:t>
      </w:r>
      <w:r>
        <w:rPr>
          <w:rFonts w:hint="eastAsia" w:asciiTheme="minorEastAsia" w:hAnsiTheme="minorEastAsia" w:eastAsiaTheme="minorEastAsia"/>
          <w:sz w:val="24"/>
          <w:szCs w:val="24"/>
          <w:shd w:val="clear" w:color="auto" w:fill="f2f2f2"/>
        </w:rPr>
        <w:t xml:space="preserve">”政府采购交易系统</w:t>
      </w:r>
      <w:r>
        <w:rPr>
          <w:rFonts w:cs="Calibri" w:asciiTheme="minorEastAsia" w:hAnsiTheme="minorEastAsia" w:eastAsiaTheme="minorEastAsia"/>
          <w:sz w:val="24"/>
          <w:szCs w:val="24"/>
        </w:rPr>
        <w:t xml:space="preserve"> </w:t>
      </w:r>
      <w:r/>
    </w:p>
    <w:p>
      <w:pPr>
        <w:pStyle w:val="732"/>
        <w:spacing w:line="400" w:lineRule="exact"/>
        <w:rPr>
          <w:rFonts w:asciiTheme="minorEastAsia" w:hAnsiTheme="minorEastAsia" w:eastAsiaTheme="minorEastAsia"/>
          <w:sz w:val="24"/>
          <w:szCs w:val="24"/>
        </w:rPr>
      </w:pPr>
      <w:r>
        <w:rPr>
          <w:rStyle w:val="779"/>
          <w:rFonts w:hint="eastAsia" w:asciiTheme="minorEastAsia" w:hAnsiTheme="minorEastAsia" w:eastAsiaTheme="minorEastAsia"/>
          <w:b w:val="0"/>
          <w:bCs w:val="0"/>
          <w:sz w:val="24"/>
          <w:szCs w:val="24"/>
        </w:rPr>
        <w:t xml:space="preserve">五、开启</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时间：</w:t>
      </w:r>
      <w:r>
        <w:rPr>
          <w:rFonts w:hint="eastAsia" w:asciiTheme="minorEastAsia" w:hAnsiTheme="minorEastAsia" w:eastAsiaTheme="minorEastAsia"/>
          <w:sz w:val="24"/>
          <w:szCs w:val="24"/>
          <w:shd w:val="clear" w:color="auto" w:fill="f2f2f2"/>
        </w:rPr>
        <w:t xml:space="preserve">2025-</w:t>
      </w:r>
      <w:r>
        <w:rPr>
          <w:rFonts w:asciiTheme="minorEastAsia" w:hAnsiTheme="minorEastAsia" w:eastAsiaTheme="minorEastAsia"/>
          <w:sz w:val="24"/>
          <w:szCs w:val="24"/>
          <w:shd w:val="clear" w:color="auto" w:fill="f2f2f2"/>
        </w:rPr>
        <w:t xml:space="preserve">11</w:t>
      </w:r>
      <w:r>
        <w:rPr>
          <w:rFonts w:hint="eastAsia" w:asciiTheme="minorEastAsia" w:hAnsiTheme="minorEastAsia" w:eastAsiaTheme="minorEastAsia"/>
          <w:sz w:val="24"/>
          <w:szCs w:val="24"/>
          <w:shd w:val="clear" w:color="auto" w:fill="f2f2f2"/>
        </w:rPr>
        <w:t xml:space="preserve">-</w:t>
      </w:r>
      <w:r>
        <w:rPr>
          <w:rFonts w:asciiTheme="minorEastAsia" w:hAnsiTheme="minorEastAsia" w:eastAsiaTheme="minorEastAsia"/>
          <w:sz w:val="24"/>
          <w:szCs w:val="24"/>
          <w:shd w:val="clear" w:color="auto" w:fill="f2f2f2"/>
        </w:rPr>
        <w:t xml:space="preserve">18</w:t>
      </w:r>
      <w:r>
        <w:rPr>
          <w:rFonts w:hint="eastAsia" w:asciiTheme="minorEastAsia" w:hAnsiTheme="minorEastAsia" w:eastAsiaTheme="minorEastAsia"/>
          <w:sz w:val="24"/>
          <w:szCs w:val="24"/>
          <w:shd w:val="clear" w:color="auto" w:fill="f2f2f2"/>
        </w:rPr>
        <w:t xml:space="preserve"> 14:30</w:t>
      </w:r>
      <w:r>
        <w:rPr>
          <w:rFonts w:asciiTheme="minorEastAsia" w:hAnsiTheme="minorEastAsia" w:eastAsiaTheme="minorEastAsia"/>
          <w:sz w:val="24"/>
          <w:szCs w:val="24"/>
          <w:shd w:val="clear" w:color="auto" w:fill="f2f2f2"/>
        </w:rPr>
        <w:t xml:space="preserve"> </w:t>
      </w:r>
      <w:r>
        <w:rPr>
          <w:rFonts w:hint="eastAsia" w:asciiTheme="minorEastAsia" w:hAnsiTheme="minorEastAsia" w:eastAsiaTheme="minorEastAsia"/>
          <w:sz w:val="24"/>
          <w:szCs w:val="24"/>
        </w:rPr>
        <w:t xml:space="preserve">（北京时间）</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地点：</w:t>
      </w:r>
      <w:r>
        <w:rPr>
          <w:rFonts w:hint="eastAsia" w:asciiTheme="minorEastAsia" w:hAnsiTheme="minorEastAsia" w:eastAsiaTheme="minorEastAsia"/>
          <w:sz w:val="24"/>
          <w:szCs w:val="24"/>
          <w:shd w:val="clear" w:color="auto" w:fill="f2f2f2"/>
        </w:rPr>
        <w:t xml:space="preserve">兴化市政务中心开标室2</w:t>
      </w:r>
      <w:r>
        <w:rPr>
          <w:rFonts w:cs="Calibri" w:asciiTheme="minorEastAsia" w:hAnsiTheme="minorEastAsia" w:eastAsiaTheme="minorEastAsia"/>
          <w:sz w:val="24"/>
          <w:szCs w:val="24"/>
        </w:rPr>
        <w:t xml:space="preserve"> </w:t>
      </w:r>
      <w:r/>
    </w:p>
    <w:p>
      <w:pPr>
        <w:pStyle w:val="732"/>
        <w:spacing w:line="400" w:lineRule="exact"/>
        <w:rPr>
          <w:rFonts w:asciiTheme="minorEastAsia" w:hAnsiTheme="minorEastAsia" w:eastAsiaTheme="minorEastAsia"/>
          <w:sz w:val="24"/>
          <w:szCs w:val="24"/>
        </w:rPr>
      </w:pPr>
      <w:r>
        <w:rPr>
          <w:rStyle w:val="779"/>
          <w:rFonts w:hint="eastAsia" w:asciiTheme="minorEastAsia" w:hAnsiTheme="minorEastAsia" w:eastAsiaTheme="minorEastAsia"/>
          <w:b w:val="0"/>
          <w:bCs w:val="0"/>
          <w:sz w:val="24"/>
          <w:szCs w:val="24"/>
        </w:rPr>
        <w:t xml:space="preserve">六、公告期限</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自本公告发布之日起3个工作日。</w:t>
      </w:r>
      <w:r/>
    </w:p>
    <w:p>
      <w:pPr>
        <w:pStyle w:val="732"/>
        <w:spacing w:line="400" w:lineRule="exact"/>
        <w:rPr>
          <w:rFonts w:asciiTheme="minorEastAsia" w:hAnsiTheme="minorEastAsia" w:eastAsiaTheme="minorEastAsia"/>
          <w:sz w:val="24"/>
          <w:szCs w:val="24"/>
        </w:rPr>
      </w:pPr>
      <w:r>
        <w:rPr>
          <w:rStyle w:val="779"/>
          <w:rFonts w:hint="eastAsia" w:asciiTheme="minorEastAsia" w:hAnsiTheme="minorEastAsia" w:eastAsiaTheme="minorEastAsia"/>
          <w:b w:val="0"/>
          <w:bCs w:val="0"/>
          <w:sz w:val="24"/>
          <w:szCs w:val="24"/>
        </w:rPr>
        <w:t xml:space="preserve">七、其他补充事宜</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无</w:t>
      </w:r>
      <w:r/>
    </w:p>
    <w:p>
      <w:pPr>
        <w:pStyle w:val="732"/>
        <w:spacing w:line="400" w:lineRule="exact"/>
        <w:rPr>
          <w:rFonts w:asciiTheme="minorEastAsia" w:hAnsiTheme="minorEastAsia" w:eastAsiaTheme="minorEastAsia"/>
          <w:sz w:val="24"/>
          <w:szCs w:val="24"/>
        </w:rPr>
      </w:pPr>
      <w:r>
        <w:rPr>
          <w:rStyle w:val="779"/>
          <w:rFonts w:hint="eastAsia" w:asciiTheme="minorEastAsia" w:hAnsiTheme="minorEastAsia" w:eastAsiaTheme="minorEastAsia"/>
          <w:b w:val="0"/>
          <w:bCs w:val="0"/>
          <w:sz w:val="24"/>
          <w:szCs w:val="24"/>
        </w:rPr>
        <w:t xml:space="preserve">八、凡对本次采购提出询问，请按以下方式联系。</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1.采购人信息</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单位名称：兴化市财政局（机关）</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单位地址：兴化市五里东路2号（金融大厦）</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联系人：陶先生</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联系电话：0523-82020508</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2.采购代理机构信息（如有）</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单位名称：兴化市政务服务中心</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单位地址：兴化市长安中路13-1</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联系人：潘先生</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联系电话：0523-83388218</w:t>
      </w:r>
      <w:r/>
    </w:p>
    <w:p>
      <w:pPr>
        <w:pStyle w:val="7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3.项目联系方式</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项目联系人：潘先生</w:t>
      </w:r>
      <w:r/>
    </w:p>
    <w:p>
      <w:pPr>
        <w:pStyle w:val="777"/>
        <w:spacing w:line="400" w:lineRule="exact"/>
        <w:shd w:val="clear" w:color="auto" w:fill="f2f2f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电话：0523-83388218</w:t>
      </w:r>
      <w:r/>
    </w:p>
    <w:p>
      <w:pPr>
        <w:ind w:firstLine="20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黑体" w:hAnsi="黑体" w:eastAsia="黑体" w:cs="黑体"/>
          <w:sz w:val="36"/>
          <w:szCs w:val="36"/>
        </w:rPr>
      </w:pPr>
      <w:r>
        <w:rPr>
          <w:rFonts w:hint="eastAsia" w:ascii="仿宋_GB2312" w:hAnsi="仿宋_GB2312" w:eastAsia="仿宋_GB2312" w:cs="仿宋_GB2312"/>
          <w:sz w:val="28"/>
          <w:szCs w:val="28"/>
        </w:rPr>
        <w:br w:type="page" w:clear="all"/>
      </w:r>
      <w:bookmarkStart w:id="10" w:name="_Toc120614211"/>
      <w:r>
        <w:rPr>
          <w:rFonts w:hint="eastAsia" w:ascii="黑体" w:hAnsi="黑体" w:eastAsia="黑体" w:cs="黑体"/>
          <w:sz w:val="36"/>
          <w:szCs w:val="36"/>
        </w:rPr>
        <w:t xml:space="preserve">第二章  </w:t>
      </w:r>
      <w:bookmarkEnd w:id="1"/>
      <w:r/>
      <w:bookmarkEnd w:id="2"/>
      <w:r/>
      <w:bookmarkEnd w:id="3"/>
      <w:r/>
      <w:bookmarkEnd w:id="4"/>
      <w:r/>
      <w:bookmarkEnd w:id="5"/>
      <w:r/>
      <w:bookmarkEnd w:id="10"/>
      <w:r>
        <w:rPr>
          <w:rFonts w:hint="eastAsia" w:ascii="黑体" w:hAnsi="黑体" w:eastAsia="黑体" w:cs="黑体"/>
          <w:sz w:val="36"/>
          <w:szCs w:val="36"/>
        </w:rPr>
        <w:t xml:space="preserve">供应商须知</w:t>
      </w:r>
      <w:r/>
    </w:p>
    <w:p>
      <w:pPr>
        <w:ind w:firstLine="436"/>
        <w:keepLines/>
        <w:keepNext/>
        <w:spacing w:line="520" w:lineRule="exact"/>
        <w:rPr>
          <w:rFonts w:ascii="仿宋_GB2312" w:hAnsi="仿宋_GB2312" w:eastAsia="仿宋_GB2312" w:cs="仿宋_GB2312"/>
          <w:b/>
          <w:bCs/>
          <w:sz w:val="28"/>
          <w:szCs w:val="28"/>
        </w:rPr>
        <w:outlineLvl w:val="2"/>
      </w:pPr>
      <w:r/>
      <w:bookmarkStart w:id="11" w:name="_Toc513029203"/>
      <w:r/>
      <w:bookmarkStart w:id="12" w:name="_Toc16938519"/>
      <w:r/>
      <w:bookmarkStart w:id="13" w:name="_Toc120614214"/>
      <w:r/>
      <w:bookmarkStart w:id="14" w:name="_Toc20823275"/>
      <w:r/>
      <w:bookmarkStart w:id="15" w:name="_Toc120614221"/>
      <w:r/>
      <w:bookmarkStart w:id="16" w:name="_Toc513029242"/>
      <w:r/>
      <w:bookmarkStart w:id="17" w:name="_Toc20823314"/>
      <w:r/>
      <w:bookmarkStart w:id="18" w:name="_Toc479757207"/>
      <w:r/>
      <w:bookmarkStart w:id="19" w:name="_Toc16938558"/>
      <w:r>
        <w:rPr>
          <w:rFonts w:hint="eastAsia" w:ascii="仿宋_GB2312" w:hAnsi="仿宋_GB2312" w:eastAsia="仿宋_GB2312" w:cs="仿宋_GB2312"/>
          <w:b/>
          <w:bCs/>
          <w:sz w:val="28"/>
          <w:szCs w:val="28"/>
        </w:rPr>
        <w:t xml:space="preserve">一、总则</w:t>
      </w:r>
      <w:bookmarkEnd w:id="11"/>
      <w:r/>
      <w:bookmarkEnd w:id="12"/>
      <w:r/>
      <w:bookmarkEnd w:id="13"/>
      <w:r/>
      <w:bookmarkEnd w:id="14"/>
      <w:r/>
      <w:r/>
    </w:p>
    <w:p>
      <w:pPr>
        <w:ind w:firstLine="420"/>
        <w:keepLines/>
        <w:keepNext/>
        <w:spacing w:line="520" w:lineRule="exact"/>
        <w:rPr>
          <w:rFonts w:ascii="仿宋_GB2312" w:hAnsi="仿宋_GB2312" w:eastAsia="仿宋_GB2312" w:cs="仿宋_GB2312"/>
          <w:sz w:val="28"/>
          <w:szCs w:val="28"/>
        </w:rPr>
        <w:outlineLvl w:val="3"/>
      </w:pPr>
      <w:r/>
      <w:bookmarkStart w:id="20" w:name="_Hlt16619475"/>
      <w:r/>
      <w:bookmarkStart w:id="21" w:name="_Toc458694821"/>
      <w:r/>
      <w:bookmarkStart w:id="22" w:name="_Toc20823276"/>
      <w:r/>
      <w:bookmarkStart w:id="23" w:name="_Toc16938520"/>
      <w:r/>
      <w:bookmarkStart w:id="24" w:name="_Toc513029204"/>
      <w:r/>
      <w:bookmarkEnd w:id="20"/>
      <w:r>
        <w:rPr>
          <w:rFonts w:hint="eastAsia" w:ascii="仿宋_GB2312" w:hAnsi="仿宋_GB2312" w:eastAsia="仿宋_GB2312" w:cs="仿宋_GB2312"/>
          <w:sz w:val="28"/>
          <w:szCs w:val="28"/>
        </w:rPr>
        <w:t xml:space="preserve">1</w:t>
      </w:r>
      <w:bookmarkEnd w:id="21"/>
      <w:r>
        <w:rPr>
          <w:rFonts w:hint="eastAsia" w:ascii="仿宋_GB2312" w:hAnsi="仿宋_GB2312" w:eastAsia="仿宋_GB2312" w:cs="仿宋_GB2312"/>
          <w:sz w:val="28"/>
          <w:szCs w:val="28"/>
        </w:rPr>
        <w:t xml:space="preserve">、采购方式</w:t>
      </w:r>
      <w:bookmarkEnd w:id="22"/>
      <w:r/>
      <w:bookmarkEnd w:id="23"/>
      <w:r/>
      <w:bookmarkEnd w:id="24"/>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本次政府采购活动采取竞争性磋商(以下简称磋商)方式，本磋商文件仅适用于磋商公告中所述项目。</w:t>
      </w:r>
      <w:r/>
    </w:p>
    <w:p>
      <w:pPr>
        <w:ind w:firstLine="420"/>
        <w:keepLines/>
        <w:keepNext/>
        <w:spacing w:line="520" w:lineRule="exact"/>
        <w:rPr>
          <w:rFonts w:ascii="仿宋_GB2312" w:hAnsi="仿宋_GB2312" w:eastAsia="仿宋_GB2312" w:cs="仿宋_GB2312"/>
          <w:sz w:val="28"/>
          <w:szCs w:val="28"/>
        </w:rPr>
        <w:outlineLvl w:val="3"/>
      </w:pPr>
      <w:r/>
      <w:bookmarkStart w:id="25" w:name="_Toc513029205"/>
      <w:r/>
      <w:bookmarkStart w:id="26" w:name="_Toc16938521"/>
      <w:r/>
      <w:bookmarkStart w:id="27" w:name="_Toc20823277"/>
      <w:r>
        <w:rPr>
          <w:rFonts w:hint="eastAsia" w:ascii="仿宋_GB2312" w:hAnsi="仿宋_GB2312" w:eastAsia="仿宋_GB2312" w:cs="仿宋_GB2312"/>
          <w:sz w:val="28"/>
          <w:szCs w:val="28"/>
        </w:rPr>
        <w:t xml:space="preserve">2、合格的</w:t>
      </w:r>
      <w:bookmarkEnd w:id="25"/>
      <w:r/>
      <w:bookmarkEnd w:id="26"/>
      <w:r/>
      <w:bookmarkEnd w:id="27"/>
      <w:r>
        <w:rPr>
          <w:rFonts w:hint="eastAsia" w:ascii="仿宋_GB2312" w:hAnsi="仿宋_GB2312" w:eastAsia="仿宋_GB2312" w:cs="仿宋_GB2312"/>
          <w:sz w:val="28"/>
          <w:szCs w:val="28"/>
        </w:rPr>
        <w:t xml:space="preserve">供应商</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2.1满足磋商公告中供应商资格要求的规定。</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满足本磋商文件实质性要求和条件的规定。</w:t>
      </w:r>
      <w:r/>
    </w:p>
    <w:p>
      <w:pPr>
        <w:ind w:firstLine="420"/>
        <w:keepLines/>
        <w:keepNext/>
        <w:spacing w:line="520" w:lineRule="exact"/>
        <w:rPr>
          <w:rFonts w:ascii="仿宋_GB2312" w:hAnsi="仿宋_GB2312" w:eastAsia="仿宋_GB2312" w:cs="仿宋_GB2312"/>
          <w:sz w:val="28"/>
          <w:szCs w:val="28"/>
        </w:rPr>
        <w:outlineLvl w:val="3"/>
      </w:pPr>
      <w:r/>
      <w:bookmarkStart w:id="28" w:name="_Toc16938522"/>
      <w:r/>
      <w:bookmarkStart w:id="29" w:name="_Toc20823278"/>
      <w:r/>
      <w:bookmarkStart w:id="30" w:name="_Toc513029206"/>
      <w:r>
        <w:rPr>
          <w:rFonts w:hint="eastAsia" w:ascii="仿宋_GB2312" w:hAnsi="仿宋_GB2312" w:eastAsia="仿宋_GB2312" w:cs="仿宋_GB2312"/>
          <w:sz w:val="28"/>
          <w:szCs w:val="28"/>
        </w:rPr>
        <w:t xml:space="preserve">3、适用法律</w:t>
      </w:r>
      <w:bookmarkEnd w:id="28"/>
      <w:r/>
      <w:bookmarkEnd w:id="29"/>
      <w:r/>
      <w:bookmarkEnd w:id="30"/>
      <w:r/>
      <w:r/>
    </w:p>
    <w:p>
      <w:pPr>
        <w:ind w:firstLine="49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本次磋商及由此产生的合同受中华人民共和国有关的法律法规制约和保护。</w:t>
      </w:r>
      <w:r/>
    </w:p>
    <w:p>
      <w:pPr>
        <w:ind w:firstLine="420"/>
        <w:keepLines/>
        <w:keepNext/>
        <w:spacing w:line="520" w:lineRule="exact"/>
        <w:rPr>
          <w:rFonts w:ascii="仿宋_GB2312" w:hAnsi="仿宋_GB2312" w:eastAsia="仿宋_GB2312" w:cs="仿宋_GB2312"/>
          <w:sz w:val="28"/>
          <w:szCs w:val="28"/>
        </w:rPr>
        <w:outlineLvl w:val="3"/>
      </w:pPr>
      <w:r/>
      <w:bookmarkStart w:id="31" w:name="_Toc20823279"/>
      <w:r/>
      <w:bookmarkStart w:id="32" w:name="_Toc462564067"/>
      <w:r/>
      <w:bookmarkStart w:id="33" w:name="_Toc16938523"/>
      <w:r/>
      <w:bookmarkStart w:id="34" w:name="_Toc513029207"/>
      <w:r>
        <w:rPr>
          <w:rFonts w:hint="eastAsia" w:ascii="仿宋_GB2312" w:hAnsi="仿宋_GB2312" w:eastAsia="仿宋_GB2312" w:cs="仿宋_GB2312"/>
          <w:sz w:val="28"/>
          <w:szCs w:val="28"/>
        </w:rPr>
        <w:t xml:space="preserve">4、磋商费用</w:t>
      </w:r>
      <w:bookmarkEnd w:id="31"/>
      <w:r/>
      <w:bookmarkEnd w:id="32"/>
      <w:r/>
      <w:bookmarkEnd w:id="33"/>
      <w:r/>
      <w:bookmarkEnd w:id="34"/>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供应商应自行承担所有与参加本次磋商有关的费用，无论磋商过程中的做法和结果如何，兴化市政务服务中心（以下简称政务中心）在任何情况下均无义务和责任承担这些费用。</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4.2本次磋商政务中心和采购人不收取标书工本费与成交服务费。</w:t>
      </w:r>
      <w:r/>
    </w:p>
    <w:p>
      <w:pPr>
        <w:ind w:firstLine="281"/>
        <w:keepLines/>
        <w:keepNext/>
        <w:spacing w:line="520" w:lineRule="exact"/>
        <w:rPr>
          <w:rFonts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磋商文件的约束力</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供应商一旦参加本项目采购活动，即被认为接受了本磋商文件的规定和约束。</w:t>
      </w:r>
      <w:r/>
    </w:p>
    <w:p>
      <w:pPr>
        <w:ind w:firstLine="281"/>
        <w:keepLines/>
        <w:keepNext/>
        <w:spacing w:line="520" w:lineRule="exact"/>
        <w:rPr>
          <w:rFonts w:ascii="仿宋_GB2312" w:hAnsi="仿宋_GB2312" w:eastAsia="仿宋_GB2312" w:cs="仿宋_GB2312"/>
          <w:b/>
          <w:bCs/>
          <w:sz w:val="28"/>
          <w:szCs w:val="28"/>
        </w:rPr>
        <w:outlineLvl w:val="2"/>
      </w:pPr>
      <w:r/>
      <w:bookmarkStart w:id="35" w:name="_Toc16938525"/>
      <w:r/>
      <w:bookmarkStart w:id="36" w:name="_Toc120614215"/>
      <w:r/>
      <w:bookmarkStart w:id="37" w:name="_Toc513029209"/>
      <w:r/>
      <w:bookmarkStart w:id="38" w:name="_Toc20823281"/>
      <w:r>
        <w:rPr>
          <w:rFonts w:hint="eastAsia" w:ascii="仿宋_GB2312" w:hAnsi="仿宋_GB2312" w:eastAsia="仿宋_GB2312" w:cs="仿宋_GB2312"/>
          <w:b/>
          <w:bCs/>
          <w:sz w:val="28"/>
          <w:szCs w:val="28"/>
        </w:rPr>
        <w:t xml:space="preserve">二、</w:t>
      </w:r>
      <w:bookmarkEnd w:id="35"/>
      <w:r/>
      <w:bookmarkEnd w:id="36"/>
      <w:r/>
      <w:bookmarkEnd w:id="37"/>
      <w:r/>
      <w:bookmarkEnd w:id="38"/>
      <w:r>
        <w:rPr>
          <w:rFonts w:hint="eastAsia" w:ascii="仿宋_GB2312" w:hAnsi="仿宋_GB2312" w:eastAsia="仿宋_GB2312" w:cs="仿宋_GB2312"/>
          <w:b/>
          <w:bCs/>
          <w:sz w:val="28"/>
          <w:szCs w:val="28"/>
        </w:rPr>
        <w:t xml:space="preserve">磋商文件</w:t>
      </w:r>
      <w:r/>
    </w:p>
    <w:p>
      <w:pPr>
        <w:ind w:firstLine="420"/>
        <w:keepLines/>
        <w:keepNext/>
        <w:spacing w:line="520" w:lineRule="exact"/>
        <w:rPr>
          <w:rFonts w:ascii="仿宋_GB2312" w:hAnsi="仿宋_GB2312" w:eastAsia="仿宋_GB2312" w:cs="仿宋_GB2312"/>
          <w:sz w:val="28"/>
          <w:szCs w:val="28"/>
        </w:rPr>
        <w:outlineLvl w:val="3"/>
      </w:pPr>
      <w:r/>
      <w:bookmarkStart w:id="39" w:name="_Toc513029210"/>
      <w:r/>
      <w:bookmarkStart w:id="40" w:name="_Toc16938526"/>
      <w:r/>
      <w:bookmarkStart w:id="41" w:name="_Toc20823282"/>
      <w:r>
        <w:rPr>
          <w:rFonts w:hint="eastAsia" w:ascii="仿宋_GB2312" w:hAnsi="仿宋_GB2312" w:eastAsia="仿宋_GB2312" w:cs="仿宋_GB2312"/>
          <w:sz w:val="28"/>
          <w:szCs w:val="28"/>
        </w:rPr>
        <w:t xml:space="preserve">6、磋商文件构成</w:t>
      </w:r>
      <w:bookmarkEnd w:id="39"/>
      <w:r/>
      <w:bookmarkEnd w:id="40"/>
      <w:r/>
      <w:bookmarkEnd w:id="41"/>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磋商文件由以下部分组成：</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（1）磋商邀请</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（5）评审方法与评审标准</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（6）响应文件格式</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请仔细检查磋商文件是否齐全，如有</w:t>
      </w:r>
      <w:r>
        <w:rPr>
          <w:rFonts w:hint="eastAsia" w:ascii="仿宋_GB2312" w:hAnsi="仿宋_GB2312" w:eastAsia="仿宋_GB2312" w:cs="仿宋_GB2312"/>
          <w:sz w:val="28"/>
          <w:szCs w:val="28"/>
        </w:rPr>
        <w:t xml:space="preserve">缺漏请</w:t>
      </w:r>
      <w:r>
        <w:rPr>
          <w:rFonts w:hint="eastAsia" w:ascii="仿宋_GB2312" w:hAnsi="仿宋_GB2312" w:eastAsia="仿宋_GB2312" w:cs="仿宋_GB2312"/>
          <w:sz w:val="28"/>
          <w:szCs w:val="28"/>
        </w:rPr>
        <w:t xml:space="preserve">立即与政务中心联系解决。</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w:t>
      </w:r>
      <w:r>
        <w:rPr>
          <w:rFonts w:hint="eastAsia" w:ascii="仿宋_GB2312" w:hAnsi="仿宋_GB2312" w:eastAsia="仿宋_GB2312" w:cs="仿宋_GB2312"/>
          <w:sz w:val="28"/>
          <w:szCs w:val="28"/>
        </w:rPr>
        <w:t xml:space="preserve">阅读磋商</w:t>
      </w:r>
      <w:r>
        <w:rPr>
          <w:rFonts w:hint="eastAsia" w:ascii="仿宋_GB2312" w:hAnsi="仿宋_GB2312" w:eastAsia="仿宋_GB2312" w:cs="仿宋_GB2312"/>
          <w:sz w:val="28"/>
          <w:szCs w:val="28"/>
        </w:rPr>
        <w:t xml:space="preserve">文件中所有的事项、格式、条款和规范等要求。按磋商文件要求和规定编制响应文件，并保证所提供的全部资料的真实性，以使其响应文件对磋商文件</w:t>
      </w:r>
      <w:r>
        <w:rPr>
          <w:rFonts w:hint="eastAsia" w:ascii="仿宋_GB2312" w:hAnsi="仿宋_GB2312" w:eastAsia="仿宋_GB2312" w:cs="仿宋_GB2312"/>
          <w:sz w:val="28"/>
          <w:szCs w:val="28"/>
        </w:rPr>
        <w:t xml:space="preserve">作出</w:t>
      </w:r>
      <w:r>
        <w:rPr>
          <w:rFonts w:hint="eastAsia" w:ascii="仿宋_GB2312" w:hAnsi="仿宋_GB2312" w:eastAsia="仿宋_GB2312" w:cs="仿宋_GB2312"/>
          <w:sz w:val="28"/>
          <w:szCs w:val="28"/>
        </w:rPr>
        <w:t xml:space="preserve">实质性响应，否则其风险由供应商自行承担。</w:t>
      </w:r>
      <w:r/>
    </w:p>
    <w:p>
      <w:pPr>
        <w:ind w:firstLine="560"/>
        <w:keepLines/>
        <w:keepNext/>
        <w:spacing w:line="520" w:lineRule="exact"/>
        <w:rPr>
          <w:rFonts w:ascii="仿宋_GB2312" w:hAnsi="仿宋_GB2312" w:eastAsia="仿宋_GB2312" w:cs="仿宋_GB2312"/>
          <w:sz w:val="28"/>
          <w:szCs w:val="28"/>
        </w:rPr>
        <w:outlineLvl w:val="3"/>
      </w:pPr>
      <w:r/>
      <w:bookmarkStart w:id="42" w:name="_Toc20823283"/>
      <w:r/>
      <w:bookmarkStart w:id="43" w:name="_Toc462564070"/>
      <w:r/>
      <w:bookmarkStart w:id="44" w:name="_Toc16938527"/>
      <w:r/>
      <w:bookmarkStart w:id="45" w:name="_Toc513029211"/>
      <w:r>
        <w:rPr>
          <w:rFonts w:hint="eastAsia" w:ascii="仿宋_GB2312" w:hAnsi="仿宋_GB2312" w:eastAsia="仿宋_GB2312" w:cs="仿宋_GB2312"/>
          <w:sz w:val="28"/>
          <w:szCs w:val="28"/>
        </w:rPr>
        <w:t xml:space="preserve">7、磋商文件的澄清</w:t>
      </w:r>
      <w:bookmarkEnd w:id="42"/>
      <w:r/>
      <w:bookmarkEnd w:id="43"/>
      <w:r/>
      <w:bookmarkEnd w:id="44"/>
      <w:r/>
      <w:bookmarkEnd w:id="45"/>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任何要求对磋商文件进行澄清的供应商，应在磋商截止期5日前按磋商公告中的通讯地址，以书面形式通知政务中心。</w:t>
      </w:r>
      <w:r/>
    </w:p>
    <w:p>
      <w:pPr>
        <w:ind w:firstLine="560"/>
        <w:keepLines/>
        <w:keepNext/>
        <w:spacing w:line="520" w:lineRule="exact"/>
        <w:rPr>
          <w:rFonts w:ascii="仿宋_GB2312" w:hAnsi="仿宋_GB2312" w:eastAsia="仿宋_GB2312" w:cs="仿宋_GB2312"/>
          <w:sz w:val="28"/>
          <w:szCs w:val="28"/>
        </w:rPr>
        <w:outlineLvl w:val="3"/>
      </w:pPr>
      <w:r/>
      <w:bookmarkStart w:id="46" w:name="_Toc16938528"/>
      <w:r/>
      <w:bookmarkStart w:id="47" w:name="_Toc513029212"/>
      <w:r/>
      <w:bookmarkStart w:id="48" w:name="_Toc20823284"/>
      <w:r/>
      <w:bookmarkStart w:id="49" w:name="_Toc462564071"/>
      <w:r>
        <w:rPr>
          <w:rFonts w:hint="eastAsia" w:ascii="仿宋_GB2312" w:hAnsi="仿宋_GB2312" w:eastAsia="仿宋_GB2312" w:cs="仿宋_GB2312"/>
          <w:sz w:val="28"/>
          <w:szCs w:val="28"/>
        </w:rPr>
        <w:t xml:space="preserve">8、磋商文件的澄清和修改</w:t>
      </w:r>
      <w:bookmarkEnd w:id="46"/>
      <w:r/>
      <w:bookmarkEnd w:id="47"/>
      <w:r/>
      <w:bookmarkEnd w:id="48"/>
      <w:r/>
      <w:bookmarkEnd w:id="49"/>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 在响应文件提交截止时间前，政务中心可以对磋商文件进行澄清和修改, 澄清或者修改的内容作为磋商文件的组成部分。澄清或者修改的内容可能影响响应文件编制的，政务中心将在提交首次响应文件截止时间至少5日前，在“江苏政府采购网”上发布书面更正公告形式通知所有</w:t>
      </w:r>
      <w:r>
        <w:rPr>
          <w:rFonts w:hint="eastAsia" w:ascii="仿宋_GB2312" w:hAnsi="仿宋_GB2312" w:eastAsia="仿宋_GB2312" w:cs="仿宋_GB2312"/>
          <w:sz w:val="28"/>
          <w:szCs w:val="28"/>
        </w:rPr>
        <w:t xml:space="preserve">获取磋商</w:t>
      </w:r>
      <w:r>
        <w:rPr>
          <w:rFonts w:hint="eastAsia" w:ascii="仿宋_GB2312" w:hAnsi="仿宋_GB2312" w:eastAsia="仿宋_GB2312" w:cs="仿宋_GB2312"/>
          <w:sz w:val="28"/>
          <w:szCs w:val="28"/>
        </w:rPr>
        <w:t xml:space="preserve">文件的供应商, 更正公告内容将作为磋商文件的组成部分，并对供应商具有约束力。不足5日的，政务中心将顺延提交首次响应文件截止时间。</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8.2政务中心可以视采购项目的具体情况，组织供应商进行现场考察或</w:t>
      </w:r>
      <w:r>
        <w:rPr>
          <w:rFonts w:hint="eastAsia" w:ascii="仿宋_GB2312" w:hAnsi="仿宋_GB2312" w:eastAsia="仿宋_GB2312" w:cs="仿宋_GB2312"/>
          <w:sz w:val="28"/>
          <w:szCs w:val="28"/>
        </w:rPr>
        <w:t xml:space="preserve">召开磋商</w:t>
      </w:r>
      <w:r>
        <w:rPr>
          <w:rFonts w:hint="eastAsia" w:ascii="仿宋_GB2312" w:hAnsi="仿宋_GB2312" w:eastAsia="仿宋_GB2312" w:cs="仿宋_GB2312"/>
          <w:sz w:val="28"/>
          <w:szCs w:val="28"/>
        </w:rPr>
        <w:t xml:space="preserve">前答疑会，但不单独或分别组织只有一个供应商参加的现场考察和答疑会。</w:t>
      </w:r>
      <w:r/>
    </w:p>
    <w:p>
      <w:pPr>
        <w:ind w:firstLine="422"/>
        <w:keepLines/>
        <w:keepNext/>
        <w:spacing w:line="520" w:lineRule="exact"/>
        <w:rPr>
          <w:rFonts w:ascii="仿宋_GB2312" w:hAnsi="仿宋_GB2312" w:eastAsia="仿宋_GB2312" w:cs="仿宋_GB2312"/>
          <w:b/>
          <w:bCs/>
          <w:sz w:val="28"/>
          <w:szCs w:val="28"/>
        </w:rPr>
        <w:outlineLvl w:val="2"/>
      </w:pPr>
      <w:r/>
      <w:bookmarkStart w:id="50" w:name="_Toc120614216"/>
      <w:r/>
      <w:bookmarkStart w:id="51" w:name="_Toc16938529"/>
      <w:r/>
      <w:bookmarkStart w:id="52" w:name="_Toc462564072"/>
      <w:r/>
      <w:bookmarkStart w:id="53" w:name="_Toc20823285"/>
      <w:r/>
      <w:bookmarkStart w:id="54" w:name="_Toc513029213"/>
      <w:r>
        <w:rPr>
          <w:rFonts w:hint="eastAsia" w:ascii="仿宋_GB2312" w:hAnsi="仿宋_GB2312" w:eastAsia="仿宋_GB2312" w:cs="仿宋_GB2312"/>
          <w:b/>
          <w:bCs/>
          <w:sz w:val="28"/>
          <w:szCs w:val="28"/>
        </w:rPr>
        <w:t xml:space="preserve">三、响应文件的编制</w:t>
      </w:r>
      <w:bookmarkEnd w:id="50"/>
      <w:r/>
      <w:bookmarkEnd w:id="51"/>
      <w:r/>
      <w:bookmarkEnd w:id="52"/>
      <w:r/>
      <w:bookmarkEnd w:id="53"/>
      <w:r/>
      <w:bookmarkEnd w:id="54"/>
      <w:r/>
      <w:r/>
    </w:p>
    <w:p>
      <w:pPr>
        <w:ind w:firstLine="560"/>
        <w:keepLines/>
        <w:keepNext/>
        <w:spacing w:line="520" w:lineRule="exact"/>
        <w:rPr>
          <w:rFonts w:ascii="仿宋_GB2312" w:hAnsi="仿宋_GB2312" w:eastAsia="仿宋_GB2312" w:cs="仿宋_GB2312"/>
          <w:b/>
          <w:sz w:val="28"/>
          <w:szCs w:val="28"/>
        </w:rPr>
        <w:outlineLvl w:val="3"/>
      </w:pPr>
      <w:r/>
      <w:bookmarkStart w:id="55" w:name="_Toc462564073"/>
      <w:r/>
      <w:bookmarkStart w:id="56" w:name="_Toc20823286"/>
      <w:r/>
      <w:bookmarkStart w:id="57" w:name="_Toc16938530"/>
      <w:r/>
      <w:bookmarkStart w:id="58" w:name="_Toc513029214"/>
      <w:r>
        <w:rPr>
          <w:rFonts w:hint="eastAsia" w:ascii="仿宋_GB2312" w:hAnsi="仿宋_GB2312" w:eastAsia="仿宋_GB2312" w:cs="仿宋_GB2312"/>
          <w:sz w:val="28"/>
          <w:szCs w:val="28"/>
        </w:rPr>
        <w:t xml:space="preserve">9、响应文件的语言及度量衡单位</w:t>
      </w:r>
      <w:bookmarkEnd w:id="55"/>
      <w:r/>
      <w:bookmarkEnd w:id="56"/>
      <w:r/>
      <w:bookmarkEnd w:id="57"/>
      <w:r/>
      <w:bookmarkEnd w:id="58"/>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供应商提交的响应文件以及供应商与政务中心就有关磋商的所有来往通知、函件和文件均应使用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9.2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firstLine="420"/>
        <w:keepLines/>
        <w:keepNext/>
        <w:spacing w:line="520" w:lineRule="exact"/>
        <w:rPr>
          <w:rFonts w:ascii="仿宋_GB2312" w:hAnsi="仿宋_GB2312" w:eastAsia="仿宋_GB2312" w:cs="仿宋_GB2312"/>
          <w:sz w:val="28"/>
          <w:szCs w:val="28"/>
        </w:rPr>
        <w:outlineLvl w:val="3"/>
      </w:pPr>
      <w:r/>
      <w:bookmarkStart w:id="59" w:name="_Toc513029215"/>
      <w:r/>
      <w:bookmarkStart w:id="60" w:name="_Toc20823287"/>
      <w:r/>
      <w:bookmarkStart w:id="61" w:name="_Toc462564074"/>
      <w:r/>
      <w:bookmarkStart w:id="62" w:name="_Toc16938531"/>
      <w:r>
        <w:rPr>
          <w:rFonts w:hint="eastAsia" w:ascii="仿宋_GB2312" w:hAnsi="仿宋_GB2312" w:eastAsia="仿宋_GB2312" w:cs="仿宋_GB2312"/>
          <w:sz w:val="28"/>
          <w:szCs w:val="28"/>
        </w:rPr>
        <w:t xml:space="preserve">10、响应文件构成</w:t>
      </w:r>
      <w:bookmarkEnd w:id="59"/>
      <w:r/>
      <w:bookmarkEnd w:id="60"/>
      <w:r/>
      <w:bookmarkEnd w:id="61"/>
      <w:r/>
      <w:bookmarkEnd w:id="62"/>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10.1</w:t>
      </w:r>
      <w:r>
        <w:rPr>
          <w:rFonts w:hint="eastAsia" w:ascii="仿宋_GB2312" w:hAnsi="仿宋_GB2312" w:eastAsia="仿宋_GB2312" w:cs="仿宋_GB2312"/>
          <w:sz w:val="28"/>
          <w:szCs w:val="28"/>
        </w:rPr>
        <w:t xml:space="preserve">供应商编写的响应文件应包括资格证明文件、符合性证明文件、分项报价表、技术要求响应及偏离表、商务要求响应及偏离表、其他证明文件、磋商响应函等部分。</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ascii="仿宋_GB2312" w:hAnsi="仿宋_GB2312" w:eastAsia="仿宋_GB2312" w:cs="仿宋_GB2312"/>
          <w:sz w:val="28"/>
          <w:szCs w:val="28"/>
        </w:rPr>
        <w:outlineLvl w:val="3"/>
      </w:pPr>
      <w:r/>
      <w:bookmarkStart w:id="63" w:name="_Hlt26668975"/>
      <w:r/>
      <w:bookmarkStart w:id="64" w:name="_Hlt26670360"/>
      <w:r/>
      <w:bookmarkStart w:id="65" w:name="_Hlt26954838"/>
      <w:r/>
      <w:bookmarkStart w:id="66" w:name="_Toc14577354"/>
      <w:r/>
      <w:bookmarkStart w:id="67" w:name="_Toc513029216"/>
      <w:r/>
      <w:bookmarkStart w:id="68" w:name="_Toc49090507"/>
      <w:r/>
      <w:bookmarkStart w:id="69" w:name="_Toc49090509"/>
      <w:r/>
      <w:bookmarkStart w:id="70" w:name="_Toc513029219"/>
      <w:r/>
      <w:bookmarkStart w:id="71" w:name="_Toc14577357"/>
      <w:r/>
      <w:bookmarkStart w:id="72" w:name="_Toc49090508"/>
      <w:r/>
      <w:bookmarkStart w:id="73" w:name="_Toc14577355"/>
      <w:r/>
      <w:bookmarkEnd w:id="63"/>
      <w:r/>
      <w:bookmarkEnd w:id="64"/>
      <w:r/>
      <w:bookmarkEnd w:id="65"/>
      <w:r>
        <w:rPr>
          <w:rFonts w:hint="eastAsia" w:ascii="仿宋_GB2312" w:hAnsi="仿宋_GB2312" w:eastAsia="仿宋_GB2312" w:cs="仿宋_GB2312"/>
          <w:sz w:val="28"/>
          <w:szCs w:val="28"/>
        </w:rPr>
        <w:t xml:space="preserve">11、证明磋商响应标的</w:t>
      </w:r>
      <w:r>
        <w:rPr>
          <w:rFonts w:hint="eastAsia" w:ascii="仿宋_GB2312" w:hAnsi="仿宋_GB2312" w:eastAsia="仿宋_GB2312" w:cs="仿宋_GB2312"/>
          <w:sz w:val="28"/>
          <w:szCs w:val="28"/>
        </w:rPr>
        <w:t xml:space="preserve">符合磋商</w:t>
      </w:r>
      <w:r>
        <w:rPr>
          <w:rFonts w:hint="eastAsia" w:ascii="仿宋_GB2312" w:hAnsi="仿宋_GB2312" w:eastAsia="仿宋_GB2312" w:cs="仿宋_GB2312"/>
          <w:sz w:val="28"/>
          <w:szCs w:val="28"/>
        </w:rPr>
        <w:t xml:space="preserve">文件规定的文件</w:t>
      </w:r>
      <w:bookmarkEnd w:id="66"/>
      <w:r/>
      <w:bookmarkEnd w:id="67"/>
      <w:r/>
      <w:bookmarkEnd w:id="68"/>
      <w:r/>
      <w:bookmarkEnd w:id="69"/>
      <w:r/>
      <w:bookmarkEnd w:id="70"/>
      <w:r/>
      <w:bookmarkEnd w:id="71"/>
      <w:r/>
      <w:r/>
    </w:p>
    <w:p>
      <w:pP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11.1供应商应按照磋商文件要求提交证明文件，证明其及磋商响应标的</w:t>
      </w:r>
      <w:r>
        <w:rPr>
          <w:rFonts w:hint="eastAsia" w:ascii="仿宋_GB2312" w:hAnsi="仿宋_GB2312" w:eastAsia="仿宋_GB2312" w:cs="仿宋_GB2312"/>
          <w:sz w:val="28"/>
          <w:szCs w:val="28"/>
        </w:rPr>
        <w:t xml:space="preserve">符合磋商</w:t>
      </w:r>
      <w:r>
        <w:rPr>
          <w:rFonts w:hint="eastAsia" w:ascii="仿宋_GB2312" w:hAnsi="仿宋_GB2312" w:eastAsia="仿宋_GB2312" w:cs="仿宋_GB2312"/>
          <w:sz w:val="28"/>
          <w:szCs w:val="28"/>
        </w:rPr>
        <w:t xml:space="preserve">文件规定。</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11.2磋商文件对证明文件无明确形式要求的，证明文件可以以文字资料、图纸和数据等形式提交。</w:t>
      </w:r>
      <w:bookmarkEnd w:id="72"/>
      <w:r/>
      <w:bookmarkEnd w:id="73"/>
      <w:r/>
      <w:r/>
    </w:p>
    <w:p>
      <w:pPr>
        <w:ind w:firstLine="420"/>
        <w:keepLines/>
        <w:keepNext/>
        <w:spacing w:line="520" w:lineRule="exact"/>
        <w:rPr>
          <w:rFonts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12、分项报价表</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12.1</w:t>
      </w:r>
      <w:r>
        <w:rPr>
          <w:rFonts w:hint="eastAsia" w:ascii="仿宋_GB2312" w:hAnsi="仿宋_GB2312" w:eastAsia="仿宋_GB2312" w:cs="仿宋_GB2312"/>
          <w:sz w:val="28"/>
          <w:szCs w:val="28"/>
        </w:rPr>
        <w:t xml:space="preserve">供应商应按照磋商文件规定格式填报分项报价表。</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12.2</w:t>
      </w:r>
      <w:r>
        <w:rPr>
          <w:rFonts w:hint="eastAsia" w:ascii="仿宋_GB2312" w:hAnsi="仿宋_GB2312" w:eastAsia="仿宋_GB2312" w:cs="仿宋_GB2312"/>
          <w:bCs/>
          <w:sz w:val="28"/>
          <w:szCs w:val="28"/>
        </w:rPr>
        <w:t xml:space="preserve">磋商货币。响应文件中的单价和总价无特殊规定的采用人民币报价，以元为单位标注。</w:t>
      </w:r>
      <w:r>
        <w:rPr>
          <w:rFonts w:hint="eastAsia" w:ascii="仿宋_GB2312" w:hAnsi="仿宋_GB2312" w:eastAsia="仿宋_GB2312" w:cs="仿宋_GB2312"/>
          <w:sz w:val="28"/>
          <w:szCs w:val="28"/>
        </w:rPr>
        <w:t xml:space="preserve">磋商文件中另有规定的按规定执行。</w:t>
      </w:r>
      <w:r/>
    </w:p>
    <w:p>
      <w:pPr>
        <w:ind w:firstLine="420"/>
        <w:keepLines/>
        <w:keepNext/>
        <w:spacing w:line="520" w:lineRule="exact"/>
        <w:rPr>
          <w:rFonts w:ascii="仿宋_GB2312" w:hAnsi="仿宋_GB2312" w:eastAsia="仿宋_GB2312" w:cs="仿宋_GB2312"/>
          <w:sz w:val="28"/>
          <w:szCs w:val="28"/>
        </w:rPr>
        <w:outlineLvl w:val="3"/>
      </w:pPr>
      <w:r/>
      <w:bookmarkStart w:id="74" w:name="_Hlt26954731"/>
      <w:r/>
      <w:bookmarkStart w:id="75" w:name="_Hlt26670486"/>
      <w:r/>
      <w:bookmarkStart w:id="76" w:name="_Hlt26954848"/>
      <w:r/>
      <w:bookmarkStart w:id="77" w:name="_Hlt26954846"/>
      <w:r/>
      <w:bookmarkStart w:id="78" w:name="_Hlt26670482"/>
      <w:r/>
      <w:bookmarkEnd w:id="74"/>
      <w:r/>
      <w:bookmarkEnd w:id="75"/>
      <w:r/>
      <w:bookmarkEnd w:id="76"/>
      <w:r/>
      <w:bookmarkEnd w:id="77"/>
      <w:r/>
      <w:bookmarkEnd w:id="78"/>
      <w:r>
        <w:rPr>
          <w:rFonts w:hint="eastAsia" w:ascii="仿宋_GB2312" w:hAnsi="仿宋_GB2312" w:eastAsia="仿宋_GB2312" w:cs="仿宋_GB2312"/>
          <w:sz w:val="28"/>
          <w:szCs w:val="28"/>
        </w:rPr>
        <w:t xml:space="preserve">13、技术要求响应及偏离表、商务要求响应及偏离表</w:t>
      </w:r>
      <w:r/>
    </w:p>
    <w:p>
      <w:pPr>
        <w:ind w:firstLine="480"/>
        <w:spacing w:line="520" w:lineRule="exact"/>
        <w:rPr>
          <w:rFonts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13.1</w:t>
      </w:r>
      <w:r>
        <w:rPr>
          <w:rFonts w:hint="eastAsia" w:ascii="仿宋_GB2312" w:hAnsi="仿宋_GB2312" w:eastAsia="仿宋_GB2312" w:cs="仿宋_GB2312"/>
          <w:sz w:val="28"/>
          <w:szCs w:val="28"/>
          <w:lang w:val="zh-CN"/>
        </w:rPr>
        <w:t xml:space="preserve">供应商需对磋商文件中的技术要求与商务要求逐项</w:t>
      </w:r>
      <w:r>
        <w:rPr>
          <w:rFonts w:hint="eastAsia" w:ascii="仿宋_GB2312" w:hAnsi="仿宋_GB2312" w:eastAsia="仿宋_GB2312" w:cs="仿宋_GB2312"/>
          <w:sz w:val="28"/>
          <w:szCs w:val="28"/>
          <w:lang w:val="zh-CN"/>
        </w:rPr>
        <w:t xml:space="preserve">作出</w:t>
      </w:r>
      <w:r>
        <w:rPr>
          <w:rFonts w:hint="eastAsia" w:ascii="仿宋_GB2312" w:hAnsi="仿宋_GB2312" w:eastAsia="仿宋_GB2312" w:cs="仿宋_GB2312"/>
          <w:sz w:val="28"/>
          <w:szCs w:val="28"/>
          <w:lang w:val="zh-CN"/>
        </w:rPr>
        <w:t xml:space="preserve">响应或偏离，并说明原因。</w:t>
      </w:r>
      <w:r/>
    </w:p>
    <w:p>
      <w:pPr>
        <w:ind w:firstLine="480"/>
        <w:spacing w:line="520" w:lineRule="exact"/>
        <w:rPr>
          <w:rFonts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13.2供应商可在响应文件中提供认为需要的其他技术文件或说明。</w:t>
      </w:r>
      <w:r/>
    </w:p>
    <w:p>
      <w:pPr>
        <w:ind w:firstLine="420"/>
        <w:keepLines/>
        <w:keepNext/>
        <w:spacing w:line="520" w:lineRule="exact"/>
        <w:rPr>
          <w:rFonts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14、服务承诺、培训计划、人员安排及其他</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14.2供应商需根据磋商文件要求提供培训计划。</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14.3供应商需根据磋商文件要求</w:t>
      </w:r>
      <w:r>
        <w:rPr>
          <w:rFonts w:hint="eastAsia" w:ascii="仿宋_GB2312" w:hAnsi="仿宋_GB2312" w:eastAsia="仿宋_GB2312" w:cs="仿宋_GB2312"/>
          <w:sz w:val="28"/>
          <w:szCs w:val="28"/>
        </w:rPr>
        <w:t xml:space="preserve">提供</w:t>
      </w:r>
      <w:r>
        <w:rPr>
          <w:rFonts w:hint="eastAsia" w:ascii="仿宋_GB2312" w:hAnsi="仿宋_GB2312" w:eastAsia="仿宋_GB2312" w:cs="仿宋_GB2312"/>
          <w:sz w:val="28"/>
          <w:szCs w:val="28"/>
          <w:lang w:val="zh-CN"/>
        </w:rPr>
        <w:t xml:space="preserve">磋商</w:t>
      </w:r>
      <w:r>
        <w:rPr>
          <w:rFonts w:hint="eastAsia" w:ascii="仿宋_GB2312" w:hAnsi="仿宋_GB2312" w:eastAsia="仿宋_GB2312" w:cs="仿宋_GB2312"/>
          <w:sz w:val="28"/>
          <w:szCs w:val="28"/>
          <w:lang w:val="zh-CN"/>
        </w:rPr>
        <w:t xml:space="preserve">响应标的</w:t>
      </w:r>
      <w:r>
        <w:rPr>
          <w:rFonts w:hint="eastAsia" w:ascii="仿宋_GB2312" w:hAnsi="仿宋_GB2312" w:eastAsia="仿宋_GB2312" w:cs="仿宋_GB2312"/>
          <w:sz w:val="28"/>
          <w:szCs w:val="28"/>
          <w:lang w:val="zh-CN"/>
        </w:rPr>
        <w:t xml:space="preserve">的</w:t>
      </w:r>
      <w:r>
        <w:rPr>
          <w:rFonts w:hint="eastAsia" w:ascii="仿宋_GB2312" w:hAnsi="仿宋_GB2312" w:eastAsia="仿宋_GB2312" w:cs="仿宋_GB2312"/>
          <w:sz w:val="28"/>
          <w:szCs w:val="28"/>
          <w:lang w:val="zh-CN"/>
        </w:rPr>
        <w:t xml:space="preserve">主要组成部分、功能设计、实现思路及关键技术等。</w:t>
      </w:r>
      <w:r/>
    </w:p>
    <w:p>
      <w:pPr>
        <w:ind w:firstLine="420"/>
        <w:keepLines/>
        <w:keepNext/>
        <w:spacing w:line="520" w:lineRule="exact"/>
        <w:rPr>
          <w:rFonts w:ascii="仿宋_GB2312" w:hAnsi="仿宋_GB2312" w:eastAsia="仿宋_GB2312" w:cs="仿宋_GB2312"/>
          <w:sz w:val="28"/>
          <w:szCs w:val="28"/>
        </w:rPr>
        <w:outlineLvl w:val="3"/>
      </w:pPr>
      <w:r/>
      <w:bookmarkStart w:id="79" w:name="_Toc14577359"/>
      <w:r/>
      <w:bookmarkStart w:id="80" w:name="_Toc49090510"/>
      <w:r>
        <w:rPr>
          <w:rFonts w:hint="eastAsia" w:ascii="仿宋_GB2312" w:hAnsi="仿宋_GB2312" w:eastAsia="仿宋_GB2312" w:cs="仿宋_GB2312"/>
          <w:sz w:val="28"/>
          <w:szCs w:val="28"/>
        </w:rPr>
        <w:t xml:space="preserve">15、磋商响应函</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15.1</w:t>
      </w:r>
      <w:r>
        <w:rPr>
          <w:rFonts w:hint="eastAsia" w:ascii="仿宋_GB2312" w:hAnsi="仿宋_GB2312" w:eastAsia="仿宋_GB2312" w:cs="仿宋_GB2312"/>
          <w:sz w:val="28"/>
          <w:szCs w:val="28"/>
        </w:rPr>
        <w:t xml:space="preserve">供应商应按照磋商文件中提供的格式完整、正确</w:t>
      </w:r>
      <w:r>
        <w:rPr>
          <w:rFonts w:hint="eastAsia" w:ascii="仿宋_GB2312" w:hAnsi="仿宋_GB2312" w:eastAsia="仿宋_GB2312" w:cs="仿宋_GB2312"/>
          <w:sz w:val="28"/>
          <w:szCs w:val="28"/>
        </w:rPr>
        <w:t xml:space="preserve">填写磋商</w:t>
      </w:r>
      <w:r>
        <w:rPr>
          <w:rFonts w:hint="eastAsia" w:ascii="仿宋_GB2312" w:hAnsi="仿宋_GB2312" w:eastAsia="仿宋_GB2312" w:cs="仿宋_GB2312"/>
          <w:sz w:val="28"/>
          <w:szCs w:val="28"/>
        </w:rPr>
        <w:t xml:space="preserve">响应函。</w:t>
      </w:r>
      <w:bookmarkEnd w:id="79"/>
      <w:r/>
      <w:bookmarkEnd w:id="80"/>
      <w:r/>
      <w:r/>
    </w:p>
    <w:p>
      <w:pPr>
        <w:ind w:firstLine="420"/>
        <w:keepLines/>
        <w:keepNext/>
        <w:spacing w:line="520" w:lineRule="exact"/>
        <w:rPr>
          <w:rFonts w:ascii="仿宋_GB2312" w:hAnsi="仿宋_GB2312" w:eastAsia="仿宋_GB2312" w:cs="仿宋_GB2312"/>
          <w:sz w:val="28"/>
          <w:szCs w:val="28"/>
        </w:rPr>
        <w:outlineLvl w:val="3"/>
      </w:pPr>
      <w:r/>
      <w:bookmarkStart w:id="81" w:name="_Toc49090511"/>
      <w:r/>
      <w:bookmarkStart w:id="82" w:name="_Toc14577360"/>
      <w:r>
        <w:rPr>
          <w:rFonts w:hint="eastAsia" w:ascii="仿宋_GB2312" w:hAnsi="仿宋_GB2312" w:eastAsia="仿宋_GB2312" w:cs="仿宋_GB2312"/>
          <w:sz w:val="28"/>
          <w:szCs w:val="28"/>
        </w:rPr>
        <w:t xml:space="preserve">16、磋商有效期</w:t>
      </w:r>
      <w:bookmarkEnd w:id="81"/>
      <w:r/>
      <w:bookmarkEnd w:id="82"/>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16.1磋商有效期为政务中心规定的提交响应文件截止之日后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。磋商有效期比规定短的将被视为非实质性响应磋商文件而予以拒绝。</w:t>
      </w:r>
      <w:r/>
    </w:p>
    <w:p>
      <w:pPr>
        <w:ind w:firstLine="420"/>
        <w:keepLines/>
        <w:keepNext/>
        <w:spacing w:line="520" w:lineRule="exact"/>
        <w:rPr>
          <w:rFonts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17、磋商有效期的延长</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w:t>
      </w:r>
      <w:r>
        <w:rPr>
          <w:rFonts w:hint="eastAsia" w:ascii="仿宋_GB2312" w:hAnsi="仿宋_GB2312" w:eastAsia="仿宋_GB2312" w:cs="仿宋_GB2312"/>
          <w:sz w:val="28"/>
          <w:szCs w:val="28"/>
        </w:rPr>
        <w:t xml:space="preserve">受磋商有效期约束的所有权利与义务均延长至新的有效期</w:t>
      </w:r>
      <w:r>
        <w:rPr>
          <w:rFonts w:hint="eastAsia" w:ascii="仿宋_GB2312" w:hAnsi="仿宋_GB2312" w:eastAsia="仿宋_GB2312" w:cs="仿宋_GB2312"/>
          <w:bCs/>
          <w:sz w:val="28"/>
          <w:szCs w:val="28"/>
        </w:rPr>
        <w:t xml:space="preserve">。</w:t>
      </w:r>
      <w:r/>
    </w:p>
    <w:p>
      <w:pPr>
        <w:ind w:firstLine="422"/>
        <w:keepLines/>
        <w:keepNext/>
        <w:spacing w:line="520" w:lineRule="exact"/>
        <w:rPr>
          <w:rFonts w:ascii="仿宋_GB2312" w:hAnsi="仿宋_GB2312" w:eastAsia="仿宋_GB2312" w:cs="仿宋_GB2312"/>
          <w:b/>
          <w:bCs/>
          <w:sz w:val="28"/>
          <w:szCs w:val="28"/>
        </w:rPr>
        <w:outlineLvl w:val="2"/>
      </w:pPr>
      <w:r/>
      <w:bookmarkStart w:id="83" w:name="_Hlt26954852"/>
      <w:r/>
      <w:bookmarkStart w:id="84" w:name="_Hlt26954739"/>
      <w:r/>
      <w:bookmarkStart w:id="85" w:name="_Toc20823296"/>
      <w:r/>
      <w:bookmarkStart w:id="86" w:name="_Toc120614217"/>
      <w:r/>
      <w:bookmarkStart w:id="87" w:name="_Toc16938540"/>
      <w:r/>
      <w:bookmarkStart w:id="88" w:name="_Toc513029224"/>
      <w:r/>
      <w:bookmarkEnd w:id="83"/>
      <w:r/>
      <w:bookmarkEnd w:id="84"/>
      <w:r>
        <w:rPr>
          <w:rFonts w:hint="eastAsia" w:ascii="仿宋_GB2312" w:hAnsi="仿宋_GB2312" w:eastAsia="仿宋_GB2312" w:cs="仿宋_GB2312"/>
          <w:b/>
          <w:bCs/>
          <w:sz w:val="28"/>
          <w:szCs w:val="28"/>
        </w:rPr>
        <w:t xml:space="preserve">四、响应文件的递交</w:t>
      </w:r>
      <w:bookmarkEnd w:id="85"/>
      <w:r/>
      <w:bookmarkEnd w:id="86"/>
      <w:r/>
      <w:bookmarkEnd w:id="87"/>
      <w:r/>
      <w:bookmarkEnd w:id="88"/>
      <w:r/>
      <w:r/>
    </w:p>
    <w:p>
      <w:pPr>
        <w:ind w:firstLine="560"/>
        <w:keepLines/>
        <w:keepNext/>
        <w:spacing w:line="520" w:lineRule="exact"/>
        <w:rPr>
          <w:rFonts w:ascii="仿宋_GB2312" w:hAnsi="仿宋_GB2312" w:eastAsia="仿宋_GB2312" w:cs="仿宋_GB2312"/>
          <w:sz w:val="28"/>
          <w:szCs w:val="28"/>
        </w:rPr>
        <w:outlineLvl w:val="3"/>
      </w:pPr>
      <w:r/>
      <w:bookmarkStart w:id="89" w:name="_Toc513029225"/>
      <w:r/>
      <w:bookmarkStart w:id="90" w:name="_Toc462564084"/>
      <w:r/>
      <w:bookmarkStart w:id="91" w:name="_Toc16938541"/>
      <w:r/>
      <w:bookmarkStart w:id="92" w:name="_Toc20823297"/>
      <w:r>
        <w:rPr>
          <w:rFonts w:hint="eastAsia" w:ascii="仿宋_GB2312" w:hAnsi="仿宋_GB2312" w:eastAsia="仿宋_GB2312" w:cs="仿宋_GB2312"/>
          <w:sz w:val="28"/>
          <w:szCs w:val="28"/>
        </w:rPr>
        <w:t xml:space="preserve">18、电子磋商</w:t>
      </w:r>
      <w:bookmarkEnd w:id="89"/>
      <w:r/>
      <w:bookmarkEnd w:id="90"/>
      <w:r/>
      <w:bookmarkEnd w:id="91"/>
      <w:r/>
      <w:bookmarkEnd w:id="92"/>
      <w:r>
        <w:rPr>
          <w:rFonts w:hint="eastAsia" w:ascii="仿宋_GB2312" w:hAnsi="仿宋_GB2312" w:eastAsia="仿宋_GB2312" w:cs="仿宋_GB2312"/>
          <w:sz w:val="28"/>
          <w:szCs w:val="28"/>
        </w:rPr>
        <w:t xml:space="preserve">响应文件的递交</w:t>
      </w:r>
      <w:r/>
    </w:p>
    <w:p>
      <w:pPr>
        <w:ind w:firstLine="70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18.1供应商应当按照《操作手册》规定，在提交响应文件截止时间</w:t>
      </w:r>
      <w:r>
        <w:rPr>
          <w:rFonts w:hint="eastAsia" w:ascii="仿宋_GB2312" w:hAnsi="仿宋_GB2312" w:eastAsia="仿宋_GB2312" w:cs="仿宋_GB2312"/>
          <w:bCs/>
          <w:sz w:val="28"/>
          <w:szCs w:val="28"/>
        </w:rPr>
        <w:t xml:space="preserve">前制作</w:t>
      </w:r>
      <w:r>
        <w:rPr>
          <w:rFonts w:hint="eastAsia" w:ascii="仿宋_GB2312" w:hAnsi="仿宋_GB2312" w:eastAsia="仿宋_GB2312" w:cs="仿宋_GB2312"/>
          <w:bCs/>
          <w:sz w:val="28"/>
          <w:szCs w:val="28"/>
        </w:rPr>
        <w:t xml:space="preserve">并上传电子响应文件。</w:t>
      </w:r>
      <w:bookmarkStart w:id="93" w:name="_Toc513029226"/>
      <w:r/>
      <w:bookmarkStart w:id="94" w:name="_Toc20823298"/>
      <w:r/>
      <w:bookmarkStart w:id="95" w:name="_Toc16938542"/>
      <w:r/>
      <w:r/>
    </w:p>
    <w:p>
      <w:pPr>
        <w:ind w:firstLine="560"/>
        <w:keepLines/>
        <w:keepNext/>
        <w:spacing w:line="52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19、提交响应文件截止时间</w:t>
      </w:r>
      <w:bookmarkEnd w:id="93"/>
      <w:r/>
      <w:bookmarkEnd w:id="94"/>
      <w:r/>
      <w:bookmarkEnd w:id="95"/>
      <w:r/>
      <w:r/>
    </w:p>
    <w:p>
      <w:pPr>
        <w:ind w:firstLine="560"/>
        <w:spacing w:line="520" w:lineRule="exact"/>
        <w:rPr>
          <w:rFonts w:ascii="黑体" w:hAnsi="黑体" w:eastAsia="黑体" w:cs="黑体"/>
          <w:bCs/>
          <w:i/>
          <w:sz w:val="28"/>
          <w:szCs w:val="28"/>
          <w:u w:val="single"/>
        </w:rPr>
      </w:pPr>
      <w:r>
        <w:rPr>
          <w:rFonts w:hint="eastAsia" w:ascii="黑体" w:hAnsi="黑体" w:eastAsia="黑体" w:cs="黑体"/>
          <w:i/>
          <w:sz w:val="28"/>
          <w:szCs w:val="28"/>
          <w:u w:val="single"/>
        </w:rPr>
        <w:t xml:space="preserve">19.1</w:t>
      </w:r>
      <w:r>
        <w:rPr>
          <w:rFonts w:hint="eastAsia" w:ascii="黑体" w:hAnsi="黑体" w:eastAsia="黑体" w:cs="黑体"/>
          <w:bCs/>
          <w:i/>
          <w:sz w:val="28"/>
          <w:szCs w:val="28"/>
          <w:u w:val="single"/>
        </w:rPr>
        <w:t xml:space="preserve">供应商上传电子响应文件的时间不得迟于磋商公告中规定的提交响应文件截止时间。</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19.2</w:t>
      </w:r>
      <w:r>
        <w:rPr>
          <w:rFonts w:hint="eastAsia" w:ascii="仿宋_GB2312" w:hAnsi="仿宋_GB2312" w:eastAsia="仿宋_GB2312" w:cs="仿宋_GB2312"/>
          <w:bCs/>
          <w:sz w:val="28"/>
          <w:szCs w:val="28"/>
        </w:rPr>
        <w:t xml:space="preserve">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ascii="仿宋_GB2312" w:hAnsi="仿宋_GB2312" w:eastAsia="仿宋_GB2312" w:cs="仿宋_GB2312"/>
          <w:sz w:val="28"/>
          <w:szCs w:val="28"/>
        </w:rPr>
        <w:outlineLvl w:val="3"/>
      </w:pPr>
      <w:r/>
      <w:bookmarkStart w:id="96" w:name="_Toc513029227"/>
      <w:r/>
      <w:bookmarkStart w:id="97" w:name="_Toc16938543"/>
      <w:r/>
      <w:bookmarkStart w:id="98" w:name="_Toc20823299"/>
      <w:r>
        <w:rPr>
          <w:rFonts w:hint="eastAsia" w:ascii="仿宋_GB2312" w:hAnsi="仿宋_GB2312" w:eastAsia="仿宋_GB2312" w:cs="仿宋_GB2312"/>
          <w:sz w:val="28"/>
          <w:szCs w:val="28"/>
        </w:rPr>
        <w:t xml:space="preserve">20、响应文件</w:t>
      </w:r>
      <w:bookmarkEnd w:id="96"/>
      <w:r/>
      <w:bookmarkEnd w:id="97"/>
      <w:r/>
      <w:bookmarkEnd w:id="98"/>
      <w:r>
        <w:rPr>
          <w:rFonts w:hint="eastAsia" w:ascii="仿宋_GB2312" w:hAnsi="仿宋_GB2312" w:eastAsia="仿宋_GB2312" w:cs="仿宋_GB2312"/>
          <w:sz w:val="28"/>
          <w:szCs w:val="28"/>
        </w:rPr>
        <w:t xml:space="preserve">的拒收</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20.1 政务中心拒绝接收在其规定的提交响应文件截止时间后上传的任何电子响应文件。</w:t>
      </w:r>
      <w:r/>
    </w:p>
    <w:p>
      <w:pPr>
        <w:ind w:firstLine="420"/>
        <w:keepLines/>
        <w:keepNext/>
        <w:spacing w:line="520" w:lineRule="exact"/>
        <w:rPr>
          <w:rFonts w:ascii="仿宋_GB2312" w:hAnsi="仿宋_GB2312" w:eastAsia="仿宋_GB2312" w:cs="仿宋_GB2312"/>
          <w:sz w:val="28"/>
          <w:szCs w:val="28"/>
        </w:rPr>
        <w:outlineLvl w:val="3"/>
      </w:pPr>
      <w:r/>
      <w:bookmarkStart w:id="99" w:name="_Toc16938544"/>
      <w:r/>
      <w:bookmarkStart w:id="100" w:name="_Toc513029228"/>
      <w:r/>
      <w:bookmarkStart w:id="101" w:name="_Toc20823300"/>
      <w:r>
        <w:rPr>
          <w:rFonts w:hint="eastAsia" w:ascii="仿宋_GB2312" w:hAnsi="仿宋_GB2312" w:eastAsia="仿宋_GB2312" w:cs="仿宋_GB2312"/>
          <w:sz w:val="28"/>
          <w:szCs w:val="28"/>
        </w:rPr>
        <w:t xml:space="preserve">21、响应文件的撤回和修改</w:t>
      </w:r>
      <w:bookmarkEnd w:id="99"/>
      <w:r/>
      <w:bookmarkEnd w:id="100"/>
      <w:r/>
      <w:bookmarkEnd w:id="101"/>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21.1响应文件的撤回</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21.1.1 电子响应文件的撤回</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21.1.2供应商撤回电子响应文件，则认为其不再参与本项目磋商活动。</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21.2响应文件的修改</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21.3</w:t>
      </w:r>
      <w:r>
        <w:rPr>
          <w:rFonts w:hint="eastAsia" w:ascii="仿宋_GB2312" w:hAnsi="仿宋_GB2312" w:eastAsia="仿宋_GB2312" w:cs="仿宋_GB2312"/>
          <w:bCs/>
          <w:sz w:val="28"/>
          <w:szCs w:val="28"/>
        </w:rPr>
        <w:t xml:space="preserve"> 在提交响应文件截止时间之后，供应商不得对其电子响应文件作任何修改。</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21.4</w:t>
      </w:r>
      <w:r>
        <w:rPr>
          <w:rFonts w:hint="eastAsia" w:ascii="仿宋_GB2312" w:hAnsi="仿宋_GB2312" w:eastAsia="仿宋_GB2312" w:cs="仿宋_GB2312"/>
          <w:bCs/>
          <w:sz w:val="28"/>
          <w:szCs w:val="28"/>
        </w:rPr>
        <w:t xml:space="preserve"> 在提交响应文件截止时间至磋商文件中规定的磋商有效期满之间的这段时间内，供应商不得撤回其响应文件。</w:t>
      </w:r>
      <w:r/>
    </w:p>
    <w:p>
      <w:pPr>
        <w:ind w:firstLine="422"/>
        <w:keepLines/>
        <w:keepNext/>
        <w:spacing w:line="520" w:lineRule="exact"/>
        <w:rPr>
          <w:rFonts w:ascii="仿宋_GB2312" w:hAnsi="仿宋_GB2312" w:eastAsia="仿宋_GB2312" w:cs="仿宋_GB2312"/>
          <w:b/>
          <w:bCs/>
          <w:sz w:val="28"/>
          <w:szCs w:val="28"/>
        </w:rPr>
        <w:outlineLvl w:val="2"/>
      </w:pPr>
      <w:r/>
      <w:bookmarkStart w:id="102" w:name="_Toc120614218"/>
      <w:r/>
      <w:bookmarkStart w:id="103" w:name="_Toc513029229"/>
      <w:r/>
      <w:bookmarkStart w:id="104" w:name="_Toc20823301"/>
      <w:r/>
      <w:bookmarkStart w:id="105" w:name="_Toc16938545"/>
      <w:r>
        <w:rPr>
          <w:rFonts w:hint="eastAsia" w:ascii="仿宋_GB2312" w:hAnsi="仿宋_GB2312" w:eastAsia="仿宋_GB2312" w:cs="仿宋_GB2312"/>
          <w:b/>
          <w:bCs/>
          <w:sz w:val="28"/>
          <w:szCs w:val="28"/>
        </w:rPr>
        <w:t xml:space="preserve">五、响应文件的解密与评审</w:t>
      </w:r>
      <w:bookmarkEnd w:id="102"/>
      <w:r/>
      <w:bookmarkEnd w:id="103"/>
      <w:r/>
      <w:bookmarkEnd w:id="104"/>
      <w:r/>
      <w:bookmarkEnd w:id="105"/>
      <w:r/>
      <w:r/>
    </w:p>
    <w:p>
      <w:pPr>
        <w:ind w:firstLine="420"/>
        <w:keepLines/>
        <w:keepNext/>
        <w:spacing w:line="520" w:lineRule="exact"/>
        <w:rPr>
          <w:rFonts w:ascii="仿宋_GB2312" w:hAnsi="仿宋_GB2312" w:eastAsia="仿宋_GB2312" w:cs="仿宋_GB2312"/>
          <w:sz w:val="28"/>
          <w:szCs w:val="28"/>
        </w:rPr>
        <w:outlineLvl w:val="3"/>
      </w:pPr>
      <w:r/>
      <w:bookmarkStart w:id="106" w:name="_Toc20823302"/>
      <w:r/>
      <w:bookmarkStart w:id="107" w:name="_Toc16938546"/>
      <w:r/>
      <w:bookmarkStart w:id="108" w:name="_Toc513029230"/>
      <w:r>
        <w:rPr>
          <w:rFonts w:hint="eastAsia" w:ascii="仿宋_GB2312" w:hAnsi="仿宋_GB2312" w:eastAsia="仿宋_GB2312" w:cs="仿宋_GB2312"/>
          <w:sz w:val="28"/>
          <w:szCs w:val="28"/>
        </w:rPr>
        <w:t xml:space="preserve">22、</w:t>
      </w:r>
      <w:bookmarkEnd w:id="106"/>
      <w:r/>
      <w:bookmarkEnd w:id="107"/>
      <w:r/>
      <w:bookmarkEnd w:id="108"/>
      <w:r>
        <w:rPr>
          <w:rFonts w:hint="eastAsia" w:ascii="仿宋_GB2312" w:hAnsi="仿宋_GB2312" w:eastAsia="仿宋_GB2312" w:cs="仿宋_GB2312"/>
          <w:sz w:val="28"/>
          <w:szCs w:val="28"/>
        </w:rPr>
        <w:t xml:space="preserve">响应文件解密</w:t>
      </w:r>
      <w:r/>
    </w:p>
    <w:p>
      <w:pPr>
        <w:ind w:firstLine="42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22.1供应商应当按照《操作手册》规定，在</w:t>
      </w:r>
      <w:r>
        <w:rPr>
          <w:rFonts w:hint="eastAsia" w:ascii="仿宋_GB2312" w:hAnsi="仿宋_GB2312" w:eastAsia="仿宋_GB2312" w:cs="仿宋_GB2312"/>
          <w:color w:val="ff0000"/>
          <w:sz w:val="28"/>
          <w:szCs w:val="28"/>
        </w:rPr>
        <w:t xml:space="preserve">苏</w:t>
      </w:r>
      <w:r>
        <w:rPr>
          <w:rFonts w:hint="eastAsia" w:ascii="仿宋_GB2312" w:hAnsi="仿宋_GB2312" w:eastAsia="仿宋_GB2312" w:cs="仿宋_GB2312"/>
          <w:color w:val="ff0000"/>
          <w:sz w:val="28"/>
          <w:szCs w:val="28"/>
        </w:rPr>
        <w:t xml:space="preserve">采云</w:t>
      </w:r>
      <w:r>
        <w:rPr>
          <w:rFonts w:hint="eastAsia" w:ascii="仿宋_GB2312" w:hAnsi="仿宋_GB2312" w:eastAsia="仿宋_GB2312" w:cs="仿宋_GB2312"/>
          <w:color w:val="ff0000"/>
          <w:sz w:val="28"/>
          <w:szCs w:val="28"/>
        </w:rPr>
        <w:t xml:space="preserve">系统</w:t>
      </w:r>
      <w:r>
        <w:rPr>
          <w:rFonts w:hint="eastAsia" w:ascii="仿宋_GB2312" w:hAnsi="仿宋_GB2312" w:eastAsia="仿宋_GB2312" w:cs="仿宋_GB2312"/>
          <w:sz w:val="28"/>
          <w:szCs w:val="28"/>
        </w:rPr>
        <w:t xml:space="preserve">规定的时间内对磋商响应文件进行解密。</w:t>
      </w:r>
      <w:r/>
    </w:p>
    <w:p>
      <w:pPr>
        <w:ind w:firstLine="420"/>
        <w:keepLines/>
        <w:keepNext/>
        <w:spacing w:line="520" w:lineRule="exact"/>
        <w:rPr>
          <w:rFonts w:ascii="仿宋_GB2312" w:hAnsi="仿宋_GB2312" w:eastAsia="仿宋_GB2312" w:cs="仿宋_GB2312"/>
          <w:sz w:val="28"/>
          <w:szCs w:val="28"/>
        </w:rPr>
        <w:outlineLvl w:val="3"/>
      </w:pPr>
      <w:r/>
      <w:bookmarkStart w:id="109" w:name="_Toc16938547"/>
      <w:r/>
      <w:bookmarkStart w:id="110" w:name="_Toc513029231"/>
      <w:r/>
      <w:bookmarkStart w:id="111" w:name="_Toc20823303"/>
      <w:r>
        <w:rPr>
          <w:rFonts w:hint="eastAsia" w:ascii="仿宋_GB2312" w:hAnsi="仿宋_GB2312" w:eastAsia="仿宋_GB2312" w:cs="仿宋_GB2312"/>
          <w:sz w:val="28"/>
          <w:szCs w:val="28"/>
        </w:rPr>
        <w:t xml:space="preserve">23、磋商小组</w:t>
      </w:r>
      <w:r/>
    </w:p>
    <w:p>
      <w:pPr>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23.1政务中心将组织磋商小组对响应文件进行评审。磋商小组由采购人代表和有关技术、经济等方面的专家组成，</w:t>
      </w:r>
      <w:r>
        <w:rPr>
          <w:rFonts w:hint="eastAsia" w:ascii="仿宋_GB2312" w:hAnsi="仿宋_GB2312" w:eastAsia="仿宋_GB2312" w:cs="仿宋_GB2312"/>
          <w:sz w:val="28"/>
          <w:szCs w:val="28"/>
        </w:rPr>
        <w:t xml:space="preserve">且人员</w:t>
      </w:r>
      <w:r>
        <w:rPr>
          <w:rFonts w:hint="eastAsia" w:ascii="仿宋_GB2312" w:hAnsi="仿宋_GB2312" w:eastAsia="仿宋_GB2312" w:cs="仿宋_GB2312"/>
          <w:sz w:val="28"/>
          <w:szCs w:val="28"/>
        </w:rPr>
        <w:t xml:space="preserve">构成符合政府采购有关规定。</w:t>
      </w:r>
      <w:r/>
    </w:p>
    <w:p>
      <w:pPr>
        <w:spacing w:line="520" w:lineRule="exact"/>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23.2磋商小组独立工作，负责评审所有响应文件并确定成交</w:t>
      </w:r>
      <w:r>
        <w:rPr>
          <w:rFonts w:hint="eastAsia" w:ascii="仿宋_GB2312" w:hAnsi="仿宋_GB2312" w:eastAsia="仿宋_GB2312" w:cs="仿宋_GB2312"/>
          <w:sz w:val="28"/>
          <w:szCs w:val="28"/>
        </w:rPr>
        <w:t xml:space="preserve">侯选人</w:t>
      </w:r>
      <w:r>
        <w:rPr>
          <w:rFonts w:hint="eastAsia" w:ascii="仿宋_GB2312" w:hAnsi="仿宋_GB2312" w:eastAsia="仿宋_GB2312" w:cs="仿宋_GB2312"/>
          <w:sz w:val="28"/>
          <w:szCs w:val="28"/>
        </w:rPr>
        <w:t xml:space="preserve">。</w:t>
      </w:r>
      <w:r/>
    </w:p>
    <w:p>
      <w:pPr>
        <w:ind w:firstLine="420"/>
        <w:keepLines/>
        <w:keepNext/>
        <w:spacing w:line="520" w:lineRule="exact"/>
        <w:rPr>
          <w:rFonts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24、评审过程的保密与公正</w:t>
      </w:r>
      <w:bookmarkEnd w:id="109"/>
      <w:r/>
      <w:bookmarkEnd w:id="110"/>
      <w:r/>
      <w:bookmarkEnd w:id="111"/>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24.1</w:t>
      </w:r>
      <w:r>
        <w:rPr>
          <w:rFonts w:hint="eastAsia" w:ascii="仿宋_GB2312" w:hAnsi="仿宋_GB2312" w:eastAsia="仿宋_GB2312" w:cs="仿宋_GB2312"/>
          <w:bCs/>
          <w:sz w:val="28"/>
          <w:szCs w:val="28"/>
        </w:rPr>
        <w:t xml:space="preserve">磋商小组、采购人和政务中心工作人员、相关监督人员等与评审工作有关的人员，对评审情况以及在评审过程中获悉的国家秘密、商业秘密负有保密责任。</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24.2在评审过程中，供应商不得以任何行为影响磋商评审过程，否则</w:t>
      </w:r>
      <w:r>
        <w:rPr>
          <w:rFonts w:hint="eastAsia" w:ascii="仿宋_GB2312" w:hAnsi="仿宋_GB2312" w:eastAsia="仿宋_GB2312" w:cs="仿宋_GB2312"/>
          <w:sz w:val="28"/>
          <w:szCs w:val="28"/>
        </w:rPr>
        <w:t xml:space="preserve">其响应文件将被作为无效响应文件。</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24.3在项目评审期间，政务中心将设专门人员与供应商联系。</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24.4 政务中心和磋商小组不向未成交的供应</w:t>
      </w:r>
      <w:r>
        <w:rPr>
          <w:rFonts w:hint="eastAsia" w:ascii="仿宋_GB2312" w:hAnsi="仿宋_GB2312" w:eastAsia="仿宋_GB2312" w:cs="仿宋_GB2312"/>
          <w:sz w:val="28"/>
          <w:szCs w:val="28"/>
        </w:rPr>
        <w:t xml:space="preserve">商解释未</w:t>
      </w:r>
      <w:r>
        <w:rPr>
          <w:rFonts w:hint="eastAsia" w:ascii="仿宋_GB2312" w:hAnsi="仿宋_GB2312" w:eastAsia="仿宋_GB2312" w:cs="仿宋_GB2312"/>
          <w:sz w:val="28"/>
          <w:szCs w:val="28"/>
        </w:rPr>
        <w:t xml:space="preserve">成交原因，也不公布评审过程中的相关细节。</w:t>
      </w:r>
      <w:r/>
    </w:p>
    <w:p>
      <w:pPr>
        <w:ind w:firstLine="420"/>
        <w:keepLines/>
        <w:keepNext/>
        <w:spacing w:line="520" w:lineRule="exact"/>
        <w:rPr>
          <w:rFonts w:ascii="仿宋_GB2312" w:hAnsi="仿宋_GB2312" w:eastAsia="仿宋_GB2312" w:cs="仿宋_GB2312"/>
          <w:sz w:val="28"/>
          <w:szCs w:val="28"/>
        </w:rPr>
        <w:outlineLvl w:val="3"/>
      </w:pPr>
      <w:r/>
      <w:bookmarkStart w:id="112" w:name="_Toc16938548"/>
      <w:r/>
      <w:bookmarkStart w:id="113" w:name="_Toc20823304"/>
      <w:r/>
      <w:bookmarkStart w:id="114" w:name="_Toc513029232"/>
      <w:r>
        <w:rPr>
          <w:rFonts w:hint="eastAsia" w:ascii="仿宋_GB2312" w:hAnsi="仿宋_GB2312" w:eastAsia="仿宋_GB2312" w:cs="仿宋_GB2312"/>
          <w:sz w:val="28"/>
          <w:szCs w:val="28"/>
        </w:rPr>
        <w:t xml:space="preserve">25、评审过程中的</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rPr>
        <w:t xml:space="preserve">澄清</w:t>
      </w:r>
      <w:bookmarkEnd w:id="112"/>
      <w:r/>
      <w:bookmarkEnd w:id="113"/>
      <w:r/>
      <w:bookmarkEnd w:id="114"/>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25.1项目评审期间，磋商小组有权要求供应商对响应文件中含义不明确、同类问题表述不一致或者有明显文字和计算错误的内容等</w:t>
      </w:r>
      <w:r>
        <w:rPr>
          <w:rFonts w:hint="eastAsia" w:ascii="仿宋_GB2312" w:hAnsi="仿宋_GB2312" w:eastAsia="仿宋_GB2312" w:cs="仿宋_GB2312"/>
          <w:sz w:val="28"/>
          <w:szCs w:val="28"/>
        </w:rPr>
        <w:t xml:space="preserve">作出</w:t>
      </w:r>
      <w:r>
        <w:rPr>
          <w:rFonts w:hint="eastAsia" w:ascii="仿宋_GB2312" w:hAnsi="仿宋_GB2312" w:eastAsia="仿宋_GB2312" w:cs="仿宋_GB2312"/>
          <w:sz w:val="28"/>
          <w:szCs w:val="28"/>
        </w:rPr>
        <w:t xml:space="preserve">必要的澄清、说明或者更正。供应商的澄清、说明或者更正不得超出响应文件的范围或者改变响应文件的实质性内容。</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磋商小组并非对每个供应商都作澄清要求。</w:t>
      </w:r>
      <w:r/>
    </w:p>
    <w:p>
      <w:pP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25.2需要供应商进行澄清、说明和更正的，磋商小组将通过苏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系统向供应商发布“澄清要求函”，接到“澄清要求函”的供应商应当按照要求在苏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系统中提交“澄清响应函”并加盖CA电子公章。澄清、说明和更正的内容作为响应文件的补充部分，具体操作方式见《操作手册》。</w:t>
      </w:r>
      <w:r/>
    </w:p>
    <w:p>
      <w:pP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25.3 </w:t>
      </w:r>
      <w:r>
        <w:rPr>
          <w:rFonts w:hint="eastAsia" w:ascii="仿宋_GB2312" w:hAnsi="仿宋_GB2312" w:eastAsia="仿宋_GB2312" w:cs="仿宋_GB2312"/>
          <w:sz w:val="28"/>
          <w:szCs w:val="28"/>
        </w:rPr>
        <w:t xml:space="preserve">接到磋商</w:t>
      </w:r>
      <w:r>
        <w:rPr>
          <w:rFonts w:hint="eastAsia" w:ascii="仿宋_GB2312" w:hAnsi="仿宋_GB2312" w:eastAsia="仿宋_GB2312" w:cs="仿宋_GB2312"/>
          <w:sz w:val="28"/>
          <w:szCs w:val="28"/>
        </w:rPr>
        <w:t xml:space="preserve">小组澄清、说明和更正要求的供应商如未按规定做出澄清、说明和 更正，其风险由供应商自行承担。</w:t>
      </w:r>
      <w:r/>
    </w:p>
    <w:p>
      <w:pPr>
        <w:ind w:firstLine="420"/>
        <w:keepLines/>
        <w:keepNext/>
        <w:spacing w:line="520" w:lineRule="exact"/>
        <w:rPr>
          <w:rFonts w:ascii="仿宋_GB2312" w:hAnsi="仿宋_GB2312" w:eastAsia="仿宋_GB2312" w:cs="仿宋_GB2312"/>
          <w:sz w:val="28"/>
          <w:szCs w:val="28"/>
        </w:rPr>
        <w:outlineLvl w:val="3"/>
      </w:pPr>
      <w:r/>
      <w:bookmarkStart w:id="115" w:name="_Toc513029233"/>
      <w:r/>
      <w:bookmarkStart w:id="116" w:name="_Toc20823305"/>
      <w:r/>
      <w:bookmarkStart w:id="117" w:name="_Toc16938549"/>
      <w:r>
        <w:rPr>
          <w:rFonts w:hint="eastAsia" w:ascii="仿宋_GB2312" w:hAnsi="仿宋_GB2312" w:eastAsia="仿宋_GB2312" w:cs="仿宋_GB2312"/>
          <w:sz w:val="28"/>
          <w:szCs w:val="28"/>
        </w:rPr>
        <w:t xml:space="preserve">26、对响应文件的审</w:t>
      </w:r>
      <w:bookmarkEnd w:id="115"/>
      <w:r/>
      <w:bookmarkEnd w:id="116"/>
      <w:r/>
      <w:bookmarkEnd w:id="117"/>
      <w:r>
        <w:rPr>
          <w:rFonts w:hint="eastAsia" w:ascii="仿宋_GB2312" w:hAnsi="仿宋_GB2312" w:eastAsia="仿宋_GB2312" w:cs="仿宋_GB2312"/>
          <w:sz w:val="28"/>
          <w:szCs w:val="28"/>
        </w:rPr>
        <w:t xml:space="preserve">查</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26.1</w:t>
      </w:r>
      <w:r>
        <w:rPr>
          <w:rFonts w:hint="eastAsia" w:ascii="仿宋_GB2312" w:hAnsi="仿宋_GB2312" w:eastAsia="仿宋_GB2312" w:cs="仿宋_GB2312"/>
          <w:bCs/>
          <w:sz w:val="28"/>
          <w:szCs w:val="28"/>
        </w:rPr>
        <w:t xml:space="preserve">响应文件审查分为资格审查和符合性审查。</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26.1.1 资格审查：由磋商小组依据法律法规和磋商文件的规定，对响应文件中的资格证明文件进行审查，以确定供应商是否具备参加磋商的资格。</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磋商小组在进行资格审查的同时，将在“信用中国”网站（www.creditchina.gov.cn）查询供应商的信用记录，以确定供应商是否</w:t>
      </w:r>
      <w:r>
        <w:rPr>
          <w:rFonts w:hint="eastAsia" w:ascii="仿宋_GB2312" w:hAnsi="仿宋_GB2312" w:eastAsia="仿宋_GB2312" w:cs="仿宋_GB2312"/>
          <w:bCs/>
          <w:sz w:val="28"/>
          <w:szCs w:val="28"/>
        </w:rPr>
        <w:t xml:space="preserve">具备磋商</w:t>
      </w:r>
      <w:r>
        <w:rPr>
          <w:rFonts w:hint="eastAsia" w:ascii="仿宋_GB2312" w:hAnsi="仿宋_GB2312" w:eastAsia="仿宋_GB2312" w:cs="仿宋_GB2312"/>
          <w:bCs/>
          <w:sz w:val="28"/>
          <w:szCs w:val="28"/>
        </w:rPr>
        <w:t xml:space="preserve">资格,查询结果留存并归档。</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接受联合体的项目，两个以上的自然人、法人或者其他组织组成一个联合体，以一个供应商的身份共同参加政府采购活动的,联合体成员中</w:t>
      </w:r>
      <w:r>
        <w:rPr>
          <w:rFonts w:hint="eastAsia" w:ascii="仿宋_GB2312" w:hAnsi="仿宋_GB2312" w:eastAsia="仿宋_GB2312" w:cs="仿宋_GB2312"/>
          <w:bCs/>
          <w:sz w:val="28"/>
          <w:szCs w:val="28"/>
        </w:rPr>
        <w:t xml:space="preserve">任何一方存在不良信用记录的，视同联合体存在不良应用记录。</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26.1.2 符合性审查：依据磋商文件的规定，由磋商小组从响应文件的有效性、完整性和对磋商文件的响应程度进行审查，以确定是否对磋商文件的实质性要求</w:t>
      </w:r>
      <w:r>
        <w:rPr>
          <w:rFonts w:hint="eastAsia" w:ascii="仿宋_GB2312" w:hAnsi="仿宋_GB2312" w:eastAsia="仿宋_GB2312" w:cs="仿宋_GB2312"/>
          <w:bCs/>
          <w:sz w:val="28"/>
          <w:szCs w:val="28"/>
        </w:rPr>
        <w:t xml:space="preserve">作出</w:t>
      </w:r>
      <w:r>
        <w:rPr>
          <w:rFonts w:hint="eastAsia" w:ascii="仿宋_GB2312" w:hAnsi="仿宋_GB2312" w:eastAsia="仿宋_GB2312" w:cs="仿宋_GB2312"/>
          <w:bCs/>
          <w:sz w:val="28"/>
          <w:szCs w:val="28"/>
        </w:rPr>
        <w:t xml:space="preserve">响应。</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26.1.3 未通过资格审查或符合性审查的供应商，磋商小组将在</w:t>
      </w:r>
      <w:r>
        <w:rPr>
          <w:rFonts w:hint="eastAsia" w:ascii="仿宋_GB2312" w:hAnsi="仿宋_GB2312" w:eastAsia="仿宋_GB2312" w:cs="仿宋_GB2312"/>
          <w:sz w:val="28"/>
          <w:szCs w:val="28"/>
        </w:rPr>
        <w:t xml:space="preserve">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w:t>
      </w:r>
      <w:r>
        <w:rPr>
          <w:rFonts w:hint="eastAsia" w:ascii="仿宋_GB2312" w:hAnsi="仿宋_GB2312" w:eastAsia="仿宋_GB2312" w:cs="仿宋_GB2312"/>
          <w:bCs/>
          <w:sz w:val="28"/>
          <w:szCs w:val="28"/>
        </w:rPr>
        <w:t xml:space="preserve">中告知未通过资格审查或符合性审查的原因，评审结束后，磋商小组将不再告知未通过资格审查或符合性审查的原因。</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仿宋_GB2312" w:hAnsi="仿宋_GB2312" w:eastAsia="仿宋_GB2312" w:cs="仿宋_GB2312"/>
          <w:sz w:val="28"/>
          <w:szCs w:val="28"/>
        </w:rPr>
        <w:t xml:space="preserve">响应性只根据</w:t>
      </w:r>
      <w:r>
        <w:rPr>
          <w:rFonts w:hint="eastAsia" w:ascii="仿宋_GB2312" w:hAnsi="仿宋_GB2312" w:eastAsia="仿宋_GB2312" w:cs="仿宋_GB2312"/>
          <w:sz w:val="28"/>
          <w:szCs w:val="28"/>
        </w:rPr>
        <w:t xml:space="preserve">响应文件本身的内容，而不寻求外部的证据。</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26.3未实质性响应磋商文件的情形</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26.3.1供应商在</w:t>
      </w:r>
      <w:r>
        <w:rPr>
          <w:rFonts w:hint="eastAsia" w:ascii="仿宋_GB2312" w:hAnsi="仿宋_GB2312" w:eastAsia="仿宋_GB2312" w:cs="仿宋_GB2312"/>
          <w:sz w:val="28"/>
          <w:szCs w:val="28"/>
        </w:rPr>
        <w:t xml:space="preserve">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w:t>
      </w:r>
      <w:r>
        <w:rPr>
          <w:rFonts w:hint="eastAsia" w:ascii="仿宋_GB2312" w:hAnsi="仿宋_GB2312" w:eastAsia="仿宋_GB2312" w:cs="仿宋_GB2312"/>
          <w:bCs/>
          <w:sz w:val="28"/>
          <w:szCs w:val="28"/>
        </w:rPr>
        <w:t xml:space="preserve">规定的时间内未成功解密电子响应文件的。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26.3.2供应商未按照磋商文件要求上传电子响应文件的。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26.3.3同</w:t>
      </w:r>
      <w:r>
        <w:rPr>
          <w:rFonts w:hint="eastAsia" w:ascii="仿宋_GB2312" w:hAnsi="仿宋_GB2312" w:eastAsia="仿宋_GB2312" w:cs="仿宋_GB2312"/>
          <w:bCs/>
          <w:sz w:val="28"/>
          <w:szCs w:val="28"/>
        </w:rPr>
        <w:t xml:space="preserve">一供应</w:t>
      </w:r>
      <w:r>
        <w:rPr>
          <w:rFonts w:hint="eastAsia" w:ascii="仿宋_GB2312" w:hAnsi="仿宋_GB2312" w:eastAsia="仿宋_GB2312" w:cs="仿宋_GB2312"/>
          <w:bCs/>
          <w:sz w:val="28"/>
          <w:szCs w:val="28"/>
        </w:rPr>
        <w:t xml:space="preserve">商提交两个（含两个）以上不同的响应文件或者最后报价的。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26.3.4供应商不</w:t>
      </w:r>
      <w:r>
        <w:rPr>
          <w:rFonts w:hint="eastAsia" w:ascii="仿宋_GB2312" w:hAnsi="仿宋_GB2312" w:eastAsia="仿宋_GB2312" w:cs="仿宋_GB2312"/>
          <w:bCs/>
          <w:sz w:val="28"/>
          <w:szCs w:val="28"/>
        </w:rPr>
        <w:t xml:space="preserve">具备磋商</w:t>
      </w:r>
      <w:r>
        <w:rPr>
          <w:rFonts w:hint="eastAsia" w:ascii="仿宋_GB2312" w:hAnsi="仿宋_GB2312" w:eastAsia="仿宋_GB2312" w:cs="仿宋_GB2312"/>
          <w:bCs/>
          <w:sz w:val="28"/>
          <w:szCs w:val="28"/>
        </w:rPr>
        <w:t xml:space="preserve">文件中规定资格要求的。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26.3.5供应商的最后报价超过了采购预算。</w:t>
      </w:r>
      <w:r/>
    </w:p>
    <w:p>
      <w:pPr>
        <w:ind w:firstLine="560"/>
        <w:spacing w:line="520" w:lineRule="exact"/>
        <w:rPr>
          <w:rFonts w:ascii="黑体" w:hAnsi="黑体" w:eastAsia="黑体" w:cs="黑体"/>
          <w:bCs/>
          <w:sz w:val="28"/>
          <w:szCs w:val="28"/>
        </w:rPr>
      </w:pPr>
      <w:r>
        <w:rPr>
          <w:rFonts w:hint="eastAsia" w:ascii="仿宋_GB2312" w:hAnsi="仿宋_GB2312" w:eastAsia="仿宋_GB2312" w:cs="仿宋_GB2312"/>
          <w:bCs/>
          <w:sz w:val="28"/>
          <w:szCs w:val="28"/>
        </w:rPr>
        <w:t xml:space="preserve">26.3.6不</w:t>
      </w:r>
      <w:r>
        <w:rPr>
          <w:rFonts w:hint="eastAsia" w:ascii="仿宋_GB2312" w:hAnsi="仿宋_GB2312" w:eastAsia="仿宋_GB2312" w:cs="仿宋_GB2312"/>
          <w:bCs/>
          <w:sz w:val="28"/>
          <w:szCs w:val="28"/>
        </w:rPr>
        <w:t xml:space="preserve">符合磋商</w:t>
      </w:r>
      <w:r>
        <w:rPr>
          <w:rFonts w:hint="eastAsia" w:ascii="仿宋_GB2312" w:hAnsi="仿宋_GB2312" w:eastAsia="仿宋_GB2312" w:cs="仿宋_GB2312"/>
          <w:bCs/>
          <w:sz w:val="28"/>
          <w:szCs w:val="28"/>
        </w:rPr>
        <w:t xml:space="preserve">文件中规定的实质性要求和条件的</w:t>
      </w:r>
      <w:r>
        <w:rPr>
          <w:rFonts w:hint="eastAsia" w:ascii="黑体" w:hAnsi="黑体" w:eastAsia="黑体" w:cs="黑体"/>
          <w:bCs/>
          <w:i/>
          <w:sz w:val="28"/>
          <w:szCs w:val="28"/>
          <w:u w:val="single"/>
        </w:rPr>
        <w:t xml:space="preserve">（本磋商文件中斜体且有下划线部分为实质性要求和条件）。</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26.3.7供应商被 “信用中国”网站（www.creditchina.gov.cn）列入失信被执行人或重大税收违法案件当事人名单或政府采购严重失信行为记</w:t>
      </w:r>
      <w:r>
        <w:rPr>
          <w:rFonts w:hint="eastAsia" w:ascii="仿宋_GB2312" w:hAnsi="仿宋_GB2312" w:eastAsia="仿宋_GB2312" w:cs="仿宋_GB2312"/>
          <w:bCs/>
          <w:sz w:val="28"/>
          <w:szCs w:val="28"/>
        </w:rPr>
        <w:t xml:space="preserve">录名单。或查询“信用中国”网站后发现供应</w:t>
      </w:r>
      <w:r>
        <w:rPr>
          <w:rFonts w:hint="eastAsia" w:ascii="仿宋_GB2312" w:hAnsi="仿宋_GB2312" w:eastAsia="仿宋_GB2312" w:cs="仿宋_GB2312"/>
          <w:bCs/>
          <w:sz w:val="28"/>
          <w:szCs w:val="28"/>
        </w:rPr>
        <w:t xml:space="preserve">商存在</w:t>
      </w:r>
      <w:r>
        <w:rPr>
          <w:rFonts w:hint="eastAsia" w:ascii="仿宋_GB2312" w:hAnsi="仿宋_GB2312" w:eastAsia="仿宋_GB2312" w:cs="仿宋_GB2312"/>
          <w:bCs/>
          <w:sz w:val="28"/>
          <w:szCs w:val="28"/>
        </w:rPr>
        <w:t xml:space="preserve">其他不符合《中华人民共和国政府采购法》第二十二条规定条件的信用记录。</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26.3.8  响应文件含有采购人不能接受的附加条件的。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26.3.9 本项目采购产品被财政部、</w:t>
      </w:r>
      <w:r>
        <w:rPr>
          <w:rFonts w:hint="eastAsia" w:ascii="仿宋_GB2312" w:hAnsi="仿宋_GB2312" w:eastAsia="仿宋_GB2312" w:cs="仿宋_GB2312"/>
          <w:bCs/>
          <w:sz w:val="28"/>
          <w:szCs w:val="28"/>
        </w:rPr>
        <w:t xml:space="preserve">国家发改委</w:t>
      </w:r>
      <w:r>
        <w:rPr>
          <w:rFonts w:hint="eastAsia" w:ascii="仿宋_GB2312" w:hAnsi="仿宋_GB2312" w:eastAsia="仿宋_GB2312" w:cs="仿宋_GB2312"/>
          <w:bCs/>
          <w:sz w:val="28"/>
          <w:szCs w:val="28"/>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26.3.10响应文件未按照磋商文件要求加盖CA电子公章的。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26.4未实质性响应磋商文件的响应文件按无效响应处理。</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26.5</w:t>
      </w:r>
      <w:r>
        <w:rPr>
          <w:rFonts w:hint="eastAsia" w:ascii="仿宋_GB2312" w:hAnsi="仿宋_GB2312" w:eastAsia="仿宋_GB2312" w:cs="仿宋_GB2312"/>
          <w:bCs/>
          <w:sz w:val="28"/>
          <w:szCs w:val="28"/>
        </w:rPr>
        <w:t xml:space="preserve">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_GB2312" w:hAnsi="仿宋_GB2312" w:eastAsia="仿宋_GB2312" w:cs="仿宋_GB2312"/>
          <w:sz w:val="28"/>
          <w:szCs w:val="28"/>
        </w:rPr>
      </w:pPr>
      <w:r/>
      <w:bookmarkStart w:id="118" w:name="_Toc513029234"/>
      <w:r/>
      <w:bookmarkStart w:id="119" w:name="_Toc16938550"/>
      <w:r/>
      <w:bookmarkStart w:id="120" w:name="_Toc20823306"/>
      <w:r>
        <w:rPr>
          <w:rFonts w:hint="eastAsia" w:ascii="仿宋_GB2312" w:hAnsi="仿宋_GB2312" w:eastAsia="仿宋_GB2312" w:cs="仿宋_GB2312"/>
          <w:sz w:val="28"/>
          <w:szCs w:val="28"/>
        </w:rPr>
        <w:t xml:space="preserve">26.6供应商在项目评审全过程中应保持通讯畅通，并安排专人与政务中心及磋商小组联系。</w:t>
      </w:r>
      <w:r/>
    </w:p>
    <w:p>
      <w:pPr>
        <w:ind w:firstLine="420"/>
        <w:keepLines/>
        <w:keepNext/>
        <w:spacing w:line="520" w:lineRule="exact"/>
        <w:rPr>
          <w:rFonts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27、</w:t>
      </w:r>
      <w:bookmarkEnd w:id="118"/>
      <w:r/>
      <w:bookmarkEnd w:id="119"/>
      <w:r/>
      <w:bookmarkEnd w:id="120"/>
      <w:r>
        <w:rPr>
          <w:rFonts w:hint="eastAsia" w:ascii="仿宋_GB2312" w:hAnsi="仿宋_GB2312" w:eastAsia="仿宋_GB2312" w:cs="仿宋_GB2312"/>
          <w:sz w:val="28"/>
          <w:szCs w:val="28"/>
        </w:rPr>
        <w:t xml:space="preserve">磋商程序及评审方法和评审标准</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27.1磋商程序</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27.1.1对于通过资格审查和符合性审查的供应商，磋商小组将集中与单一供应商分别进行磋商。磋商小组通过</w:t>
      </w:r>
      <w:r>
        <w:rPr>
          <w:rFonts w:hint="eastAsia" w:ascii="仿宋_GB2312" w:hAnsi="仿宋_GB2312" w:eastAsia="仿宋_GB2312" w:cs="仿宋_GB2312"/>
          <w:color w:val="ff0000"/>
          <w:sz w:val="28"/>
          <w:szCs w:val="28"/>
        </w:rPr>
        <w:t xml:space="preserve">苏</w:t>
      </w:r>
      <w:r>
        <w:rPr>
          <w:rFonts w:hint="eastAsia" w:ascii="仿宋_GB2312" w:hAnsi="仿宋_GB2312" w:eastAsia="仿宋_GB2312" w:cs="仿宋_GB2312"/>
          <w:color w:val="ff0000"/>
          <w:sz w:val="28"/>
          <w:szCs w:val="28"/>
        </w:rPr>
        <w:t xml:space="preserve">采云</w:t>
      </w:r>
      <w:r>
        <w:rPr>
          <w:rFonts w:hint="eastAsia" w:ascii="仿宋_GB2312" w:hAnsi="仿宋_GB2312" w:eastAsia="仿宋_GB2312" w:cs="仿宋_GB2312"/>
          <w:color w:val="ff0000"/>
          <w:sz w:val="28"/>
          <w:szCs w:val="28"/>
        </w:rPr>
        <w:t xml:space="preserve">系统</w:t>
      </w:r>
      <w:r>
        <w:rPr>
          <w:rFonts w:hint="eastAsia" w:ascii="仿宋_GB2312" w:hAnsi="仿宋_GB2312" w:eastAsia="仿宋_GB2312" w:cs="仿宋_GB2312"/>
          <w:sz w:val="28"/>
          <w:szCs w:val="28"/>
        </w:rPr>
        <w:t xml:space="preserve">向供应商发布“磋商函”，供应商应当按照要求在</w:t>
      </w:r>
      <w:r>
        <w:rPr>
          <w:rFonts w:hint="eastAsia" w:ascii="仿宋_GB2312" w:hAnsi="仿宋_GB2312" w:eastAsia="仿宋_GB2312" w:cs="仿宋_GB2312"/>
          <w:color w:val="ff0000"/>
          <w:sz w:val="28"/>
          <w:szCs w:val="28"/>
        </w:rPr>
        <w:t xml:space="preserve">苏</w:t>
      </w:r>
      <w:r>
        <w:rPr>
          <w:rFonts w:hint="eastAsia" w:ascii="仿宋_GB2312" w:hAnsi="仿宋_GB2312" w:eastAsia="仿宋_GB2312" w:cs="仿宋_GB2312"/>
          <w:color w:val="ff0000"/>
          <w:sz w:val="28"/>
          <w:szCs w:val="28"/>
        </w:rPr>
        <w:t xml:space="preserve">采云</w:t>
      </w:r>
      <w:r>
        <w:rPr>
          <w:rFonts w:hint="eastAsia" w:ascii="仿宋_GB2312" w:hAnsi="仿宋_GB2312" w:eastAsia="仿宋_GB2312" w:cs="仿宋_GB2312"/>
          <w:color w:val="ff0000"/>
          <w:sz w:val="28"/>
          <w:szCs w:val="28"/>
        </w:rPr>
        <w:t xml:space="preserve">系统</w:t>
      </w:r>
      <w:r>
        <w:rPr>
          <w:rFonts w:hint="eastAsia" w:ascii="仿宋_GB2312" w:hAnsi="仿宋_GB2312" w:eastAsia="仿宋_GB2312" w:cs="仿宋_GB2312"/>
          <w:sz w:val="28"/>
          <w:szCs w:val="28"/>
        </w:rPr>
        <w:t xml:space="preserve">提交“磋商响应函”并加盖CA电子公章。</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在磋商过程中，磋商小组可能根据磋商文件和磋商情况实质性变动的内容有：采购需求中的技术、服务要求以及合同草案条款。对磋商文件</w:t>
      </w:r>
      <w:r>
        <w:rPr>
          <w:rFonts w:hint="eastAsia" w:ascii="仿宋_GB2312" w:hAnsi="仿宋_GB2312" w:eastAsia="仿宋_GB2312" w:cs="仿宋_GB2312"/>
          <w:sz w:val="28"/>
          <w:szCs w:val="28"/>
        </w:rPr>
        <w:t xml:space="preserve">作出</w:t>
      </w:r>
      <w:r>
        <w:rPr>
          <w:rFonts w:hint="eastAsia" w:ascii="仿宋_GB2312" w:hAnsi="仿宋_GB2312" w:eastAsia="仿宋_GB2312" w:cs="仿宋_GB2312"/>
          <w:sz w:val="28"/>
          <w:szCs w:val="28"/>
        </w:rPr>
        <w:t xml:space="preserve">的实质性变动是磋商文件的有效组成部分，磋商小组将在苏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系统中通知所有参加磋商的供应商。供应商应当按照磋商文件的变动情况和磋商小组的要求在苏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系统中重新提交响应文件，并加盖CA电子公章。</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27.1.2磋商文件能够详细列明采购标的</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rPr>
        <w:t xml:space="preserve">技术、服务要求的，磋商结束后，磋商小组将在苏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系统向所有实质性响应的供应商发布“最后报价要求函”及最后报价格式表，要求所有实质性响应的供应商在规定时间内提交最后报价。</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磋商文件不能详细列明采购标的</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系统中向其发布“最后报价要求函”及最后报价格式表，要求其在规定时间内提交最后报价。</w:t>
      </w:r>
      <w:r/>
    </w:p>
    <w:p>
      <w:pPr>
        <w:ind w:firstLine="560"/>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27.1.3供应商未在磋商小组规定的时间内在苏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系统中提交“退出磋商函”并加盖CA电子公章。</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27.2 评审方法和评审标准</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仿宋_GB2312" w:hAnsi="仿宋_GB2312" w:eastAsia="仿宋_GB2312" w:cs="仿宋_GB2312"/>
          <w:sz w:val="28"/>
          <w:szCs w:val="28"/>
        </w:rPr>
        <w:t xml:space="preserve">有效响应</w:t>
      </w:r>
      <w:r>
        <w:rPr>
          <w:rFonts w:hint="eastAsia" w:ascii="仿宋_GB2312" w:hAnsi="仿宋_GB2312" w:eastAsia="仿宋_GB2312" w:cs="仿宋_GB2312"/>
          <w:sz w:val="28"/>
          <w:szCs w:val="28"/>
        </w:rPr>
        <w:t xml:space="preserve">的文件进行评价、打分，然后汇总每个供应商每项评分因素的得分。</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27.2.2评审标准</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见本磋商文件第五章规定。</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27.3采购活动终止的情况</w:t>
      </w:r>
      <w:r/>
    </w:p>
    <w:p>
      <w:pPr>
        <w:ind w:firstLine="420"/>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出现下列情形之一的，本次竞争性磋商采购活动将被终止：</w:t>
      </w:r>
      <w:r/>
    </w:p>
    <w:p>
      <w:pPr>
        <w:ind w:firstLine="420"/>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27.3.1因情况变化，不再符合规定的竞争性磋商采购方式适用情形的。</w:t>
      </w:r>
      <w:r/>
    </w:p>
    <w:p>
      <w:pPr>
        <w:ind w:firstLine="420"/>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27.3.2出现影响采购公正的违法、违规行为的。</w:t>
      </w:r>
      <w:r/>
    </w:p>
    <w:p>
      <w:pPr>
        <w:ind w:firstLine="420"/>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27.3.3除本磋商文件第二章第27.1.2条第三款规定的情形外，在采购过程中符合要求的供应商或者最后报价未超过采购预算的供应商不足3家的。</w:t>
      </w:r>
      <w:r/>
    </w:p>
    <w:p>
      <w:pPr>
        <w:ind w:firstLine="420"/>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27.3.4在</w:t>
      </w:r>
      <w:r>
        <w:rPr>
          <w:rFonts w:hint="eastAsia" w:ascii="仿宋_GB2312" w:hAnsi="仿宋_GB2312" w:eastAsia="仿宋_GB2312" w:cs="仿宋_GB2312"/>
          <w:color w:val="ff0000"/>
          <w:sz w:val="28"/>
          <w:szCs w:val="28"/>
        </w:rPr>
        <w:t xml:space="preserve">苏</w:t>
      </w:r>
      <w:r>
        <w:rPr>
          <w:rFonts w:hint="eastAsia" w:ascii="仿宋_GB2312" w:hAnsi="仿宋_GB2312" w:eastAsia="仿宋_GB2312" w:cs="仿宋_GB2312"/>
          <w:color w:val="ff0000"/>
          <w:sz w:val="28"/>
          <w:szCs w:val="28"/>
        </w:rPr>
        <w:t xml:space="preserve">采云</w:t>
      </w:r>
      <w:r>
        <w:rPr>
          <w:rFonts w:hint="eastAsia" w:ascii="仿宋_GB2312" w:hAnsi="仿宋_GB2312" w:eastAsia="仿宋_GB2312" w:cs="仿宋_GB2312"/>
          <w:color w:val="ff0000"/>
          <w:sz w:val="28"/>
          <w:szCs w:val="28"/>
        </w:rPr>
        <w:t xml:space="preserve">系统</w:t>
      </w:r>
      <w:r>
        <w:rPr>
          <w:rFonts w:hint="eastAsia" w:ascii="仿宋_GB2312" w:hAnsi="仿宋_GB2312" w:eastAsia="仿宋_GB2312" w:cs="仿宋_GB2312"/>
          <w:sz w:val="28"/>
          <w:szCs w:val="28"/>
        </w:rPr>
        <w:t xml:space="preserve">规定时间内成功解密电子响应文件的供应商不足3家的。</w:t>
      </w:r>
      <w:r/>
    </w:p>
    <w:p>
      <w:pPr>
        <w:ind w:firstLine="422"/>
        <w:keepLines/>
        <w:keepNext/>
        <w:spacing w:line="520" w:lineRule="exact"/>
        <w:rPr>
          <w:rFonts w:ascii="仿宋_GB2312" w:hAnsi="仿宋_GB2312" w:eastAsia="仿宋_GB2312" w:cs="仿宋_GB2312"/>
          <w:b/>
          <w:bCs/>
          <w:sz w:val="28"/>
          <w:szCs w:val="28"/>
        </w:rPr>
        <w:outlineLvl w:val="2"/>
      </w:pPr>
      <w:r/>
      <w:bookmarkStart w:id="121" w:name="_Toc120614219"/>
      <w:r/>
      <w:bookmarkStart w:id="122" w:name="_Toc20823307"/>
      <w:r/>
      <w:bookmarkStart w:id="123" w:name="_Toc16938551"/>
      <w:r/>
      <w:bookmarkStart w:id="124" w:name="_Toc513029235"/>
      <w:r>
        <w:rPr>
          <w:rFonts w:hint="eastAsia" w:ascii="仿宋_GB2312" w:hAnsi="仿宋_GB2312" w:eastAsia="仿宋_GB2312" w:cs="仿宋_GB2312"/>
          <w:b/>
          <w:bCs/>
          <w:sz w:val="28"/>
          <w:szCs w:val="28"/>
        </w:rPr>
        <w:t xml:space="preserve">六、</w:t>
      </w:r>
      <w:bookmarkEnd w:id="121"/>
      <w:r/>
      <w:bookmarkEnd w:id="122"/>
      <w:r/>
      <w:bookmarkEnd w:id="123"/>
      <w:r/>
      <w:bookmarkEnd w:id="124"/>
      <w:r>
        <w:rPr>
          <w:rFonts w:hint="eastAsia" w:ascii="仿宋_GB2312" w:hAnsi="仿宋_GB2312" w:eastAsia="仿宋_GB2312" w:cs="仿宋_GB2312"/>
          <w:b/>
          <w:bCs/>
          <w:sz w:val="28"/>
          <w:szCs w:val="28"/>
        </w:rPr>
        <w:t xml:space="preserve">成交</w:t>
      </w:r>
      <w:r/>
    </w:p>
    <w:p>
      <w:pPr>
        <w:ind w:firstLine="560"/>
        <w:keepLines/>
        <w:keepNext/>
        <w:spacing w:line="520" w:lineRule="exact"/>
        <w:rPr>
          <w:rFonts w:ascii="仿宋_GB2312" w:hAnsi="仿宋_GB2312" w:eastAsia="仿宋_GB2312" w:cs="仿宋_GB2312"/>
          <w:bCs/>
          <w:sz w:val="28"/>
          <w:szCs w:val="28"/>
        </w:rPr>
        <w:outlineLvl w:val="3"/>
      </w:pPr>
      <w:r/>
      <w:bookmarkStart w:id="125" w:name="_Toc513029238"/>
      <w:r/>
      <w:bookmarkStart w:id="126" w:name="_Toc16938554"/>
      <w:r/>
      <w:bookmarkStart w:id="127" w:name="_Toc20823310"/>
      <w:r>
        <w:rPr>
          <w:rFonts w:hint="eastAsia" w:ascii="仿宋_GB2312" w:hAnsi="仿宋_GB2312" w:eastAsia="仿宋_GB2312" w:cs="仿宋_GB2312"/>
          <w:bCs/>
          <w:sz w:val="28"/>
          <w:szCs w:val="28"/>
        </w:rPr>
        <w:t xml:space="preserve">28、</w:t>
      </w:r>
      <w:bookmarkEnd w:id="125"/>
      <w:r>
        <w:rPr>
          <w:rFonts w:hint="eastAsia" w:ascii="仿宋_GB2312" w:hAnsi="仿宋_GB2312" w:eastAsia="仿宋_GB2312" w:cs="仿宋_GB2312"/>
          <w:bCs/>
          <w:sz w:val="28"/>
          <w:szCs w:val="28"/>
        </w:rPr>
        <w:t xml:space="preserve">确定</w:t>
      </w:r>
      <w:bookmarkEnd w:id="126"/>
      <w:r/>
      <w:bookmarkEnd w:id="127"/>
      <w:r>
        <w:rPr>
          <w:rFonts w:hint="eastAsia" w:ascii="仿宋_GB2312" w:hAnsi="仿宋_GB2312" w:eastAsia="仿宋_GB2312" w:cs="仿宋_GB2312"/>
          <w:bCs/>
          <w:sz w:val="28"/>
          <w:szCs w:val="28"/>
        </w:rPr>
        <w:t xml:space="preserve">成交单位</w:t>
      </w:r>
      <w:r/>
    </w:p>
    <w:p>
      <w:pPr>
        <w:ind w:firstLine="557"/>
        <w:spacing w:line="520" w:lineRule="exact"/>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28.1</w:t>
      </w:r>
      <w:r>
        <w:rPr>
          <w:rFonts w:hint="eastAsia" w:ascii="仿宋_GB2312" w:hAnsi="仿宋_GB2312" w:eastAsia="仿宋_GB2312" w:cs="仿宋_GB2312"/>
          <w:sz w:val="28"/>
          <w:szCs w:val="28"/>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28.3若有充分证据证明，成交供应</w:t>
      </w:r>
      <w:r>
        <w:rPr>
          <w:rFonts w:hint="eastAsia" w:ascii="仿宋_GB2312" w:hAnsi="仿宋_GB2312" w:eastAsia="仿宋_GB2312" w:cs="仿宋_GB2312"/>
          <w:bCs/>
          <w:sz w:val="28"/>
          <w:szCs w:val="28"/>
        </w:rPr>
        <w:t xml:space="preserve">商出现</w:t>
      </w:r>
      <w:r>
        <w:rPr>
          <w:rFonts w:hint="eastAsia" w:ascii="仿宋_GB2312" w:hAnsi="仿宋_GB2312" w:eastAsia="仿宋_GB2312" w:cs="仿宋_GB2312"/>
          <w:bCs/>
          <w:sz w:val="28"/>
          <w:szCs w:val="28"/>
        </w:rPr>
        <w:t xml:space="preserve">下列情况之一的，一经查实，</w:t>
      </w:r>
      <w:r>
        <w:rPr>
          <w:rFonts w:hint="eastAsia" w:ascii="仿宋_GB2312" w:hAnsi="仿宋_GB2312" w:eastAsia="仿宋_GB2312" w:cs="仿宋_GB2312"/>
          <w:bCs/>
          <w:sz w:val="28"/>
          <w:szCs w:val="28"/>
        </w:rPr>
        <w:t xml:space="preserve">将被取消成交资格：</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28.3.1提供虚假材料谋取成交的。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28.3.2与评审专家、采购人、其他供应商或者政务中心工作人员恶意串通的。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28.3.3向评审专家、采购人或政务中心工作人员行贿或者提供其他不正当利益的。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28.3.4恶意竞争，最后报价明显低于其自身合理成本且又无法提供证明的。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28.3.5不满足本磋商文件规定的实质性要求，但在评审过程中又未被磋商小组发现的。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28.3.6成交后无正当理由拒不与采购人签订政府采购合同或者未按照磋商文件确定的事项签订政府采购合同的。</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28.3.7将政府采购合同转包的。</w:t>
      </w:r>
      <w:r/>
    </w:p>
    <w:p>
      <w:pPr>
        <w:ind w:firstLine="560"/>
        <w:keepLines/>
        <w:keepNext/>
        <w:spacing w:line="520" w:lineRule="exact"/>
        <w:rPr>
          <w:rFonts w:ascii="仿宋_GB2312" w:hAnsi="仿宋_GB2312" w:eastAsia="仿宋_GB2312" w:cs="仿宋_GB2312"/>
          <w:bCs/>
          <w:sz w:val="28"/>
          <w:szCs w:val="28"/>
        </w:rPr>
        <w:outlineLvl w:val="3"/>
      </w:pPr>
      <w:r/>
      <w:bookmarkStart w:id="128" w:name="_Toc200451960"/>
      <w:r>
        <w:rPr>
          <w:rFonts w:hint="eastAsia" w:ascii="仿宋_GB2312" w:hAnsi="仿宋_GB2312" w:eastAsia="仿宋_GB2312" w:cs="仿宋_GB2312"/>
          <w:bCs/>
          <w:sz w:val="28"/>
          <w:szCs w:val="28"/>
        </w:rPr>
        <w:t xml:space="preserve">29、质疑处理</w:t>
      </w:r>
      <w:bookmarkEnd w:id="128"/>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29.1 提出质疑的供应商应当是参与所质疑项目采购活动的供应商。潜在供应</w:t>
      </w:r>
      <w:r>
        <w:rPr>
          <w:rFonts w:hint="eastAsia" w:ascii="仿宋_GB2312" w:hAnsi="仿宋_GB2312" w:eastAsia="仿宋_GB2312" w:cs="仿宋_GB2312"/>
          <w:sz w:val="28"/>
          <w:szCs w:val="28"/>
        </w:rPr>
        <w:t xml:space="preserve">商依法</w:t>
      </w:r>
      <w:r>
        <w:rPr>
          <w:rFonts w:hint="eastAsia" w:ascii="仿宋_GB2312" w:hAnsi="仿宋_GB2312" w:eastAsia="仿宋_GB2312" w:cs="仿宋_GB2312"/>
          <w:sz w:val="28"/>
          <w:szCs w:val="28"/>
        </w:rPr>
        <w:t xml:space="preserve">获取其可质疑的采购文件的，可以对采购文件提出质疑。</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29.2供应商认为采购文件、采购过程和采购结果使自己的权益受到损害的，可以在知道或应知其权益受到损害之日起七个工作日内，以书面形式根据下述 </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条款的规定向政务中心或采购人提出质疑。上述应知其权益受到损害之日，是指：</w:t>
      </w:r>
      <w:r/>
    </w:p>
    <w:p>
      <w:pPr>
        <w:ind w:firstLine="561"/>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29.2.1对可以质疑的采购文件提出质疑的，为收到采购文件之日或者采购文件公告期限届满之日。</w:t>
      </w:r>
      <w:r>
        <w:rPr>
          <w:rFonts w:hint="eastAsia" w:ascii="仿宋_GB2312" w:hAnsi="仿宋_GB2312" w:eastAsia="仿宋_GB2312" w:cs="仿宋_GB2312"/>
          <w:sz w:val="28"/>
          <w:szCs w:val="28"/>
        </w:rPr>
        <w:br/>
        <w:t xml:space="preserve">　　29.2.2对采购过程提出质疑的，为各采购程序环节结束之日。</w:t>
      </w:r>
      <w:r>
        <w:rPr>
          <w:rFonts w:hint="eastAsia" w:ascii="仿宋_GB2312" w:hAnsi="仿宋_GB2312" w:eastAsia="仿宋_GB2312" w:cs="仿宋_GB2312"/>
          <w:sz w:val="28"/>
          <w:szCs w:val="28"/>
        </w:rPr>
        <w:br/>
        <w:t xml:space="preserve">　　29.2.3对成交结果提出质疑的，为成交结果公告期限届满之日。</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供应商应当在法定质疑期内一次性提出针对同一采购程序环节的质疑。供应商如在法定期限内对同一采购程序环节提出多次质疑的，政务中心、采购人将只对供应商第一次质疑</w:t>
      </w:r>
      <w:r>
        <w:rPr>
          <w:rFonts w:hint="eastAsia" w:ascii="仿宋_GB2312" w:hAnsi="仿宋_GB2312" w:eastAsia="仿宋_GB2312" w:cs="仿宋_GB2312"/>
          <w:sz w:val="28"/>
          <w:szCs w:val="28"/>
        </w:rPr>
        <w:t xml:space="preserve">作出</w:t>
      </w:r>
      <w:r>
        <w:rPr>
          <w:rFonts w:hint="eastAsia" w:ascii="仿宋_GB2312" w:hAnsi="仿宋_GB2312" w:eastAsia="仿宋_GB2312" w:cs="仿宋_GB2312"/>
          <w:sz w:val="28"/>
          <w:szCs w:val="28"/>
        </w:rPr>
        <w:t xml:space="preserve">答复。</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29.3质疑</w:t>
      </w:r>
      <w:r>
        <w:rPr>
          <w:rFonts w:hint="eastAsia" w:ascii="仿宋_GB2312" w:hAnsi="仿宋_GB2312" w:eastAsia="仿宋_GB2312" w:cs="仿宋_GB2312"/>
          <w:sz w:val="28"/>
          <w:szCs w:val="28"/>
        </w:rPr>
        <w:t xml:space="preserve">函必须</w:t>
      </w:r>
      <w:r>
        <w:rPr>
          <w:rFonts w:hint="eastAsia" w:ascii="仿宋_GB2312" w:hAnsi="仿宋_GB2312" w:eastAsia="仿宋_GB2312" w:cs="仿宋_GB2312"/>
          <w:sz w:val="28"/>
          <w:szCs w:val="28"/>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560"/>
        <w:spacing w:line="48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政务中心提出</w:t>
      </w:r>
      <w:r/>
    </w:p>
    <w:p>
      <w:pPr>
        <w:ind w:firstLine="560"/>
        <w:spacing w:line="520" w:lineRule="exact"/>
        <w:rPr>
          <w:rFonts w:ascii="仿宋_GB2312" w:hAnsi="仿宋_GB2312" w:eastAsia="仿宋_GB2312" w:cs="仿宋_GB2312"/>
          <w:b/>
          <w:bCs/>
          <w:sz w:val="28"/>
          <w:szCs w:val="28"/>
          <w:u w:val="single"/>
        </w:rPr>
      </w:pPr>
      <w:r>
        <w:rPr>
          <w:rFonts w:hint="eastAsia" w:ascii="仿宋_GB2312" w:hAnsi="仿宋_GB2312" w:eastAsia="仿宋_GB2312" w:cs="仿宋_GB2312"/>
          <w:sz w:val="28"/>
          <w:szCs w:val="28"/>
        </w:rPr>
        <w:t xml:space="preserve">采购人及政务中心只接收以纸质原件形式送达的质疑,建议供应商尽量通过邮寄方式提交质疑</w:t>
      </w:r>
      <w:r>
        <w:rPr>
          <w:rFonts w:hint="eastAsia" w:ascii="仿宋_GB2312" w:hAnsi="仿宋_GB2312" w:eastAsia="仿宋_GB2312" w:cs="仿宋_GB2312"/>
          <w:b/>
          <w:bCs/>
          <w:sz w:val="28"/>
          <w:szCs w:val="28"/>
          <w:u w:val="single"/>
        </w:rPr>
        <w:t xml:space="preserve">（采购人和政务中心不接受未填写快递运单的快件）。</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政务中心质疑接收部门为政府采购科（快递运单上的收件人填写“政府采购科”即可），联系地址：江苏省兴化市长安中路13-1号（兴化市政务服务中心），联系电话：0523-83388218。</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采购人质疑接收人及联系方式见本磋商文件第一章。</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29.5 以下情形的质疑不予受理</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29.5.1 内容不符合《政府采购质疑和投诉办法》第十二条规定的质疑。</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29.5.2 超出政府采购法定期限的质疑。</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29.5.3 以传真、电子邮件等方式递交的非原件形式的质疑。</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29.5.4 未参加磋商活动的供应商或在磋商活动中自身权益未受到损害的供应商所提出的质疑。</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29.5.5供应商组成联合体参加磋商，联合体中任何一方或多方未按要求签字、盖章、加盖公章的质疑。</w:t>
      </w:r>
      <w:r/>
    </w:p>
    <w:p>
      <w:pPr>
        <w:ind w:firstLine="546"/>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29.6  供应商提出书面质疑必须有理、有据，不得捏造事实、提供虚假材料进行恶意质疑。否则，一经查实，政务中心有权依据政府采购的有关规定，报请政府采购监管部门对该供应商进行相应的行政处罚和记</w:t>
      </w:r>
      <w:r>
        <w:rPr>
          <w:rFonts w:hint="eastAsia" w:ascii="仿宋_GB2312" w:hAnsi="仿宋_GB2312" w:eastAsia="仿宋_GB2312" w:cs="仿宋_GB2312"/>
          <w:sz w:val="28"/>
          <w:szCs w:val="28"/>
        </w:rPr>
        <w:t xml:space="preserve">录该供应商的失信信息。</w:t>
      </w:r>
      <w:r/>
    </w:p>
    <w:p>
      <w:pPr>
        <w:ind w:firstLine="560"/>
        <w:keepLines/>
        <w:keepNext/>
        <w:spacing w:line="52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30、成交通知书</w:t>
      </w:r>
      <w:r/>
    </w:p>
    <w:p>
      <w:pPr>
        <w:ind w:firstLine="70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30.1成交结果确定后，政务中心将向成交供应商发出成交通知书。</w:t>
      </w:r>
      <w:r>
        <w:rPr>
          <w:rFonts w:hint="eastAsia" w:ascii="仿宋_GB2312" w:hAnsi="仿宋_GB2312" w:eastAsia="仿宋_GB2312" w:cs="仿宋_GB2312"/>
          <w:sz w:val="28"/>
          <w:szCs w:val="28"/>
        </w:rPr>
        <w:t xml:space="preserve">请成交</w:t>
      </w:r>
      <w:r>
        <w:rPr>
          <w:rFonts w:hint="eastAsia" w:ascii="仿宋_GB2312" w:hAnsi="仿宋_GB2312" w:eastAsia="仿宋_GB2312" w:cs="仿宋_GB2312"/>
          <w:sz w:val="28"/>
          <w:szCs w:val="28"/>
        </w:rPr>
        <w:t xml:space="preserve">供应商在成交结果公告届满之日起30日内,使用CA数字证书登录苏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系统及时下载成交通知书。因系统存储空间有限，自成交结果公告届满之日起30日后，苏</w:t>
      </w:r>
      <w:r>
        <w:rPr>
          <w:rFonts w:hint="eastAsia" w:ascii="仿宋_GB2312" w:hAnsi="仿宋_GB2312" w:eastAsia="仿宋_GB2312" w:cs="仿宋_GB2312"/>
          <w:sz w:val="28"/>
          <w:szCs w:val="28"/>
        </w:rPr>
        <w:t xml:space="preserve">采云</w:t>
      </w:r>
      <w:r>
        <w:rPr>
          <w:rFonts w:hint="eastAsia" w:ascii="仿宋_GB2312" w:hAnsi="仿宋_GB2312" w:eastAsia="仿宋_GB2312" w:cs="仿宋_GB2312"/>
          <w:sz w:val="28"/>
          <w:szCs w:val="28"/>
        </w:rPr>
        <w:t xml:space="preserve">系统不再保证提供下载成交通知书服务,因未及时下载而造成的不利后果</w:t>
      </w:r>
      <w:r>
        <w:rPr>
          <w:rFonts w:hint="eastAsia" w:ascii="仿宋_GB2312" w:hAnsi="仿宋_GB2312" w:eastAsia="仿宋_GB2312" w:cs="仿宋_GB2312"/>
          <w:sz w:val="28"/>
          <w:szCs w:val="28"/>
        </w:rPr>
        <w:t xml:space="preserve">由成交</w:t>
      </w:r>
      <w:r>
        <w:rPr>
          <w:rFonts w:hint="eastAsia" w:ascii="仿宋_GB2312" w:hAnsi="仿宋_GB2312" w:eastAsia="仿宋_GB2312" w:cs="仿宋_GB2312"/>
          <w:sz w:val="28"/>
          <w:szCs w:val="28"/>
        </w:rPr>
        <w:t xml:space="preserve">供应商自行承担。</w:t>
      </w:r>
      <w:r/>
    </w:p>
    <w:p>
      <w:pPr>
        <w:ind w:firstLine="70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ascii="仿宋_GB2312" w:hAnsi="仿宋_GB2312" w:eastAsia="仿宋_GB2312" w:cs="仿宋_GB2312"/>
          <w:b/>
          <w:bCs/>
          <w:sz w:val="28"/>
          <w:szCs w:val="28"/>
        </w:rPr>
        <w:outlineLvl w:val="2"/>
      </w:pPr>
      <w:r/>
      <w:bookmarkStart w:id="129" w:name="_Toc513029236"/>
      <w:r/>
      <w:bookmarkStart w:id="130" w:name="_Toc120614220"/>
      <w:r/>
      <w:bookmarkStart w:id="131" w:name="_Toc16938552"/>
      <w:r/>
      <w:bookmarkStart w:id="132" w:name="_Toc20823308"/>
      <w:r>
        <w:rPr>
          <w:rFonts w:hint="eastAsia" w:ascii="仿宋_GB2312" w:hAnsi="仿宋_GB2312" w:eastAsia="仿宋_GB2312" w:cs="仿宋_GB2312"/>
          <w:b/>
          <w:bCs/>
          <w:sz w:val="28"/>
          <w:szCs w:val="28"/>
        </w:rPr>
        <w:t xml:space="preserve">七、授予合同</w:t>
      </w:r>
      <w:bookmarkEnd w:id="129"/>
      <w:r/>
      <w:bookmarkEnd w:id="130"/>
      <w:r/>
      <w:bookmarkEnd w:id="131"/>
      <w:r/>
      <w:bookmarkEnd w:id="132"/>
      <w:r/>
      <w:r/>
    </w:p>
    <w:p>
      <w:pPr>
        <w:ind w:firstLine="560"/>
        <w:keepLines/>
        <w:keepNext/>
        <w:spacing w:line="520" w:lineRule="exact"/>
        <w:rPr>
          <w:rFonts w:ascii="仿宋_GB2312" w:hAnsi="仿宋_GB2312" w:eastAsia="仿宋_GB2312" w:cs="仿宋_GB2312"/>
          <w:bCs/>
          <w:sz w:val="28"/>
          <w:szCs w:val="28"/>
        </w:rPr>
        <w:outlineLvl w:val="3"/>
      </w:pPr>
      <w:r/>
      <w:bookmarkStart w:id="133" w:name="_Toc16938553"/>
      <w:r/>
      <w:bookmarkStart w:id="134" w:name="_Toc20823309"/>
      <w:r/>
      <w:bookmarkStart w:id="135" w:name="_Toc513029237"/>
      <w:r>
        <w:rPr>
          <w:rFonts w:hint="eastAsia" w:ascii="仿宋_GB2312" w:hAnsi="仿宋_GB2312" w:eastAsia="仿宋_GB2312" w:cs="仿宋_GB2312"/>
          <w:bCs/>
          <w:sz w:val="28"/>
          <w:szCs w:val="28"/>
        </w:rPr>
        <w:t xml:space="preserve">31. 签订合同</w:t>
      </w:r>
      <w:r/>
    </w:p>
    <w:p>
      <w:pPr>
        <w:ind w:firstLine="700"/>
        <w:spacing w:line="52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31</w:t>
      </w:r>
      <w:r>
        <w:rPr>
          <w:rFonts w:hint="eastAsia" w:ascii="仿宋_GB2312" w:hAnsi="仿宋_GB2312" w:eastAsia="仿宋_GB2312" w:cs="仿宋_GB2312"/>
          <w:sz w:val="28"/>
          <w:szCs w:val="28"/>
        </w:rPr>
        <w:t xml:space="preserve">.l成交供应商应当在成交通知书发出之日起三十日内，按照磋商文件确定的事项与采购人签订政府采购合同。</w:t>
      </w:r>
      <w:r/>
    </w:p>
    <w:p>
      <w:pPr>
        <w:ind w:firstLine="70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31.2磋商文件、成交供应商的响应文件及磋商过程中有关澄清、承诺文件均应作为合同附件。</w:t>
      </w:r>
      <w:r/>
    </w:p>
    <w:p>
      <w:pPr>
        <w:ind w:firstLine="70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31.3 签订合同后</w:t>
      </w:r>
      <w:r>
        <w:rPr>
          <w:rFonts w:hint="eastAsia" w:ascii="黑体" w:hAnsi="黑体" w:eastAsia="黑体" w:cs="黑体"/>
          <w:sz w:val="28"/>
          <w:szCs w:val="28"/>
        </w:rPr>
        <w:t xml:space="preserve">，</w:t>
      </w:r>
      <w:r>
        <w:rPr>
          <w:rFonts w:hint="eastAsia" w:ascii="黑体" w:hAnsi="黑体" w:eastAsia="黑体" w:cs="黑体"/>
          <w:i/>
          <w:sz w:val="28"/>
          <w:szCs w:val="28"/>
          <w:u w:val="single"/>
        </w:rPr>
        <w:t xml:space="preserve">成交供应商不得将合同标的进行转包</w:t>
      </w:r>
      <w:r>
        <w:rPr>
          <w:rFonts w:hint="eastAsia" w:ascii="黑体" w:hAnsi="黑体" w:eastAsia="黑体" w:cs="黑体"/>
          <w:sz w:val="28"/>
          <w:szCs w:val="28"/>
        </w:rPr>
        <w:t xml:space="preserve">。</w:t>
      </w:r>
      <w:r>
        <w:rPr>
          <w:rFonts w:hint="eastAsia" w:ascii="仿宋_GB2312" w:hAnsi="仿宋_GB2312" w:eastAsia="仿宋_GB2312" w:cs="仿宋_GB2312"/>
          <w:sz w:val="28"/>
          <w:szCs w:val="28"/>
        </w:rPr>
        <w:t xml:space="preserve">未经采购人同意，成交供应商也不得采用分包形式履行合同,否则采购人有权终止合同。转包或分包造成采购人损失的，成交供应商应承担相应赔偿责任。</w:t>
      </w:r>
      <w:r/>
    </w:p>
    <w:p>
      <w:pPr>
        <w:ind w:firstLine="560"/>
        <w:keepLines/>
        <w:keepNext/>
        <w:spacing w:line="52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32、标的物的追加</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33"/>
      <w:r/>
      <w:bookmarkEnd w:id="134"/>
      <w:r/>
      <w:bookmarkEnd w:id="135"/>
      <w:r/>
      <w:r/>
    </w:p>
    <w:p>
      <w:pPr>
        <w:ind w:firstLine="560"/>
        <w:keepLines/>
        <w:keepNext/>
        <w:spacing w:line="520" w:lineRule="exact"/>
        <w:rPr>
          <w:rFonts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33、政府采购履约资金扶持政策</w:t>
      </w:r>
      <w:r/>
    </w:p>
    <w:p>
      <w:pPr>
        <w:ind w:firstLine="555"/>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ind w:firstLine="560"/>
        <w:spacing w:line="520" w:lineRule="exact"/>
        <w:rPr>
          <w:rFonts w:ascii="黑体" w:hAnsi="黑体" w:eastAsia="黑体" w:cs="黑体"/>
          <w:sz w:val="36"/>
          <w:szCs w:val="36"/>
        </w:rPr>
      </w:pPr>
      <w:r>
        <w:rPr>
          <w:rFonts w:hint="eastAsia" w:ascii="仿宋_GB2312" w:hAnsi="仿宋_GB2312" w:eastAsia="仿宋_GB2312" w:cs="仿宋_GB2312"/>
          <w:bCs/>
          <w:sz w:val="28"/>
          <w:szCs w:val="28"/>
        </w:rPr>
        <w:br w:type="page" w:clear="all"/>
      </w:r>
      <w:r>
        <w:rPr>
          <w:rFonts w:hint="eastAsia" w:ascii="黑体" w:hAnsi="黑体" w:eastAsia="黑体" w:cs="黑体"/>
          <w:sz w:val="36"/>
          <w:szCs w:val="36"/>
        </w:rPr>
        <w:t xml:space="preserve">第三章  合同</w:t>
      </w:r>
      <w:bookmarkEnd w:id="15"/>
      <w:r/>
      <w:bookmarkEnd w:id="16"/>
      <w:r/>
      <w:bookmarkEnd w:id="17"/>
      <w:r/>
      <w:bookmarkEnd w:id="18"/>
      <w:r/>
      <w:bookmarkEnd w:id="19"/>
      <w:r>
        <w:rPr>
          <w:rFonts w:hint="eastAsia" w:ascii="黑体" w:hAnsi="黑体" w:eastAsia="黑体" w:cs="黑体"/>
          <w:sz w:val="36"/>
          <w:szCs w:val="36"/>
        </w:rPr>
        <w:t xml:space="preserve">文本</w:t>
      </w:r>
      <w:r/>
    </w:p>
    <w:p>
      <w:pPr>
        <w:jc w:val="center"/>
        <w:keepLines/>
        <w:keepNext/>
        <w:spacing w:line="520" w:lineRule="exact"/>
        <w:rPr>
          <w:rFonts w:ascii="黑体" w:hAnsi="黑体" w:eastAsia="黑体" w:cs="黑体"/>
          <w:sz w:val="36"/>
          <w:szCs w:val="36"/>
        </w:rPr>
        <w:outlineLvl w:val="1"/>
      </w:pPr>
      <w:r>
        <w:rPr>
          <w:rFonts w:ascii="黑体" w:hAnsi="黑体" w:eastAsia="黑体" w:cs="黑体"/>
          <w:sz w:val="36"/>
          <w:szCs w:val="36"/>
        </w:rPr>
      </w:r>
      <w:r/>
    </w:p>
    <w:p>
      <w:pPr>
        <w:ind w:firstLine="560"/>
        <w:spacing w:line="520" w:lineRule="exact"/>
        <w:rPr>
          <w:rFonts w:ascii="仿宋_GB2312" w:hAnsi="仿宋_GB2312" w:eastAsia="仿宋_GB2312" w:cs="仿宋_GB2312"/>
          <w:bCs/>
          <w:sz w:val="28"/>
          <w:szCs w:val="28"/>
        </w:rPr>
      </w:pPr>
      <w:r/>
      <w:bookmarkStart w:id="136" w:name="_Toc16938559"/>
      <w:r/>
      <w:bookmarkStart w:id="137" w:name="_Toc20823315"/>
      <w:r/>
      <w:bookmarkStart w:id="138" w:name="_Toc513029243"/>
      <w:r>
        <w:rPr>
          <w:rFonts w:hint="eastAsia" w:ascii="仿宋_GB2312" w:hAnsi="仿宋_GB2312" w:eastAsia="仿宋_GB2312" w:cs="仿宋_GB2312"/>
          <w:bCs/>
          <w:sz w:val="28"/>
          <w:szCs w:val="28"/>
        </w:rPr>
        <w:t xml:space="preserve">以下为成交后</w:t>
      </w:r>
      <w:r>
        <w:rPr>
          <w:rFonts w:hint="eastAsia" w:ascii="仿宋_GB2312" w:hAnsi="仿宋_GB2312" w:eastAsia="仿宋_GB2312" w:cs="仿宋_GB2312"/>
          <w:bCs/>
          <w:sz w:val="28"/>
          <w:szCs w:val="28"/>
        </w:rPr>
        <w:t xml:space="preserve">签定</w:t>
      </w:r>
      <w:r>
        <w:rPr>
          <w:rFonts w:hint="eastAsia" w:ascii="仿宋_GB2312" w:hAnsi="仿宋_GB2312" w:eastAsia="仿宋_GB2312" w:cs="仿宋_GB2312"/>
          <w:bCs/>
          <w:sz w:val="28"/>
          <w:szCs w:val="28"/>
        </w:rPr>
        <w:t xml:space="preserve">本项目合同的通用条款，成交供应商不得提出实质性的修改。</w:t>
      </w:r>
      <w:bookmarkEnd w:id="136"/>
      <w:r/>
      <w:bookmarkEnd w:id="137"/>
      <w:r/>
      <w:bookmarkEnd w:id="138"/>
      <w:r/>
      <w:r/>
    </w:p>
    <w:p>
      <w:pPr>
        <w:ind w:firstLine="562"/>
        <w:jc w:val="center"/>
        <w:spacing w:line="520" w:lineRule="exact"/>
        <w:rPr>
          <w:rFonts w:ascii="仿宋_GB2312" w:hAnsi="仿宋_GB2312" w:eastAsia="仿宋_GB2312" w:cs="仿宋_GB2312"/>
          <w:b/>
          <w:sz w:val="28"/>
          <w:szCs w:val="28"/>
        </w:rPr>
        <w:outlineLvl w:val="0"/>
      </w:pPr>
      <w:r>
        <w:rPr>
          <w:rFonts w:ascii="仿宋_GB2312" w:hAnsi="仿宋_GB2312" w:eastAsia="仿宋_GB2312" w:cs="仿宋_GB2312"/>
          <w:b/>
          <w:sz w:val="28"/>
          <w:szCs w:val="28"/>
        </w:rPr>
      </w:r>
      <w:r/>
    </w:p>
    <w:p>
      <w:pPr>
        <w:ind w:firstLine="800"/>
        <w:jc w:val="center"/>
        <w:spacing w:line="520" w:lineRule="exact"/>
        <w:rPr>
          <w:rFonts w:ascii="方正小标宋_GBK" w:hAnsi="方正小标宋_GBK" w:eastAsia="方正小标宋_GBK" w:cs="方正小标宋_GBK"/>
          <w:bCs/>
          <w:sz w:val="40"/>
          <w:szCs w:val="40"/>
        </w:rPr>
        <w:outlineLvl w:val="0"/>
      </w:pPr>
      <w:r/>
      <w:bookmarkStart w:id="139" w:name="_Hlt16619369"/>
      <w:r/>
      <w:bookmarkStart w:id="140" w:name="_Hlt16619350"/>
      <w:r/>
      <w:bookmarkStart w:id="141" w:name="_Toc16938590"/>
      <w:r/>
      <w:bookmarkStart w:id="142" w:name="_Toc120614244"/>
      <w:r/>
      <w:bookmarkStart w:id="143" w:name="_Toc20823346"/>
      <w:r/>
      <w:bookmarkStart w:id="144" w:name="_Toc479757211"/>
      <w:r/>
      <w:bookmarkStart w:id="145" w:name="_Toc462564139"/>
      <w:r/>
      <w:bookmarkEnd w:id="139"/>
      <w:r>
        <w:rPr>
          <w:rFonts w:hint="eastAsia" w:ascii="方正小标宋_GBK" w:hAnsi="方正小标宋_GBK" w:eastAsia="方正小标宋_GBK" w:cs="方正小标宋_GBK"/>
          <w:bCs/>
          <w:sz w:val="40"/>
          <w:szCs w:val="40"/>
        </w:rPr>
        <w:t xml:space="preserve">江苏省政府采购合同（服务）</w:t>
      </w:r>
      <w:r/>
    </w:p>
    <w:p>
      <w:pPr>
        <w:ind w:firstLine="562"/>
        <w:jc w:val="center"/>
        <w:spacing w:before="181" w:after="181"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p>
    <w:p>
      <w:pPr>
        <w:pStyle w:val="99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pStyle w:val="99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99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991"/>
        <w:ind w:firstLine="560"/>
        <w:spacing w:line="50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项目竞争性磋商的结果，签署本合同。</w:t>
      </w:r>
      <w:r/>
    </w:p>
    <w:p>
      <w:pPr>
        <w:pStyle w:val="991"/>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1.2标的质量：</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标的数量（规模）：</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1.6履行方式：</w:t>
      </w:r>
      <w:r/>
    </w:p>
    <w:p>
      <w:pPr>
        <w:pStyle w:val="991"/>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本合同金额为（大写）：________圆（________元）人民币。</w:t>
      </w:r>
      <w:r/>
    </w:p>
    <w:p>
      <w:pPr>
        <w:pStyle w:val="991"/>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w:t>
      </w:r>
      <w:r>
        <w:rPr>
          <w:rFonts w:hint="eastAsia" w:ascii="仿宋_GB2312" w:hAnsi="仿宋_GB2312" w:eastAsia="仿宋_GB2312" w:cs="仿宋_GB2312"/>
          <w:sz w:val="28"/>
          <w:szCs w:val="28"/>
        </w:rPr>
        <w:t xml:space="preserve">向履行</w:t>
      </w:r>
      <w:r>
        <w:rPr>
          <w:rFonts w:hint="eastAsia" w:ascii="仿宋_GB2312" w:hAnsi="仿宋_GB2312" w:eastAsia="仿宋_GB2312" w:cs="仿宋_GB2312"/>
          <w:sz w:val="28"/>
          <w:szCs w:val="28"/>
        </w:rPr>
        <w:t xml:space="preserve">本合同有关的人员提供，也应注意保密并限</w:t>
      </w:r>
      <w:r>
        <w:rPr>
          <w:rFonts w:hint="eastAsia" w:ascii="仿宋_GB2312" w:hAnsi="仿宋_GB2312" w:eastAsia="仿宋_GB2312" w:cs="仿宋_GB2312"/>
          <w:sz w:val="28"/>
          <w:szCs w:val="28"/>
        </w:rPr>
        <w:t xml:space="preserve">于履行合同的必需范围。</w:t>
      </w:r>
      <w:r/>
    </w:p>
    <w:p>
      <w:pPr>
        <w:pStyle w:val="991"/>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91"/>
        <w:ind w:firstLine="562"/>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pStyle w:val="991"/>
        <w:ind w:firstLine="560"/>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w:t>
      </w:r>
      <w:r>
        <w:rPr>
          <w:rFonts w:hint="eastAsia" w:ascii="仿宋_GB2312" w:hAnsi="仿宋_GB2312" w:eastAsia="仿宋_GB2312" w:cs="仿宋_GB2312"/>
          <w:sz w:val="28"/>
          <w:szCs w:val="28"/>
        </w:rPr>
        <w:t xml:space="preserve">乙方且</w:t>
      </w:r>
      <w:r>
        <w:rPr>
          <w:rFonts w:hint="eastAsia" w:ascii="仿宋_GB2312" w:hAnsi="仿宋_GB2312" w:eastAsia="仿宋_GB2312" w:cs="仿宋_GB2312"/>
          <w:sz w:val="28"/>
          <w:szCs w:val="28"/>
        </w:rPr>
        <w:t xml:space="preserve">无任何抵押、查封等产权瑕疵。</w:t>
      </w:r>
      <w:r/>
    </w:p>
    <w:p>
      <w:pPr>
        <w:pStyle w:val="991"/>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6.1 本项目乙方无需缴纳履约保证金。</w:t>
      </w:r>
      <w:r/>
    </w:p>
    <w:p>
      <w:pPr>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七、合同转包或分包</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7.1乙方不得将合同标的转包给他人履行。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991"/>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pStyle w:val="991"/>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991"/>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991"/>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991"/>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991"/>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991"/>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991"/>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w:t>
      </w:r>
      <w:r>
        <w:rPr>
          <w:rFonts w:hint="eastAsia" w:ascii="仿宋_GB2312" w:hAnsi="仿宋_GB2312" w:eastAsia="仿宋_GB2312" w:cs="仿宋_GB2312"/>
          <w:sz w:val="28"/>
          <w:szCs w:val="28"/>
        </w:rPr>
        <w:t xml:space="preserve">应根据验收方案内容做好相应配合工作。</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w:t>
      </w:r>
      <w:r>
        <w:rPr>
          <w:rFonts w:hint="eastAsia" w:ascii="仿宋_GB2312" w:hAnsi="仿宋_GB2312" w:eastAsia="仿宋_GB2312" w:cs="仿宋_GB2312"/>
          <w:sz w:val="28"/>
          <w:szCs w:val="28"/>
        </w:rPr>
        <w:t xml:space="preserve">方专业</w:t>
      </w:r>
      <w:r>
        <w:rPr>
          <w:rFonts w:hint="eastAsia" w:ascii="仿宋_GB2312" w:hAnsi="仿宋_GB2312" w:eastAsia="仿宋_GB2312" w:cs="仿宋_GB2312"/>
          <w:sz w:val="28"/>
          <w:szCs w:val="28"/>
        </w:rPr>
        <w:t xml:space="preserve">机构及专家参与验收，相关意见将作为</w:t>
      </w:r>
      <w:r>
        <w:rPr>
          <w:rFonts w:hint="eastAsia" w:ascii="仿宋_GB2312" w:hAnsi="仿宋_GB2312" w:eastAsia="仿宋_GB2312" w:cs="仿宋_GB2312"/>
          <w:sz w:val="28"/>
          <w:szCs w:val="28"/>
        </w:rPr>
        <w:t xml:space="preserve">验收书</w:t>
      </w:r>
      <w:r>
        <w:rPr>
          <w:rFonts w:hint="eastAsia" w:ascii="仿宋_GB2312" w:hAnsi="仿宋_GB2312" w:eastAsia="仿宋_GB2312" w:cs="仿宋_GB2312"/>
          <w:sz w:val="28"/>
          <w:szCs w:val="28"/>
        </w:rPr>
        <w:t xml:space="preserve">的参考资料。</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仿宋_GB2312" w:hAnsi="仿宋_GB2312" w:eastAsia="仿宋_GB2312" w:cs="仿宋_GB2312"/>
          <w:sz w:val="28"/>
          <w:szCs w:val="28"/>
        </w:rPr>
        <w:t xml:space="preserve">验收书</w:t>
      </w:r>
      <w:r>
        <w:rPr>
          <w:rFonts w:hint="eastAsia" w:ascii="仿宋_GB2312" w:hAnsi="仿宋_GB2312" w:eastAsia="仿宋_GB2312" w:cs="仿宋_GB2312"/>
          <w:sz w:val="28"/>
          <w:szCs w:val="28"/>
        </w:rPr>
        <w:t xml:space="preserve">,列明各项标准的验收情况及项目总体评价,由验收双方共同签署。验收结果与采购合同约定的资金支付及履约保证金返还条件挂钩。履约验收的各项资料存档备查。</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宋体"/>
          <w:color w:val="000000"/>
          <w:sz w:val="28"/>
          <w:szCs w:val="28"/>
        </w:rPr>
        <w:t xml:space="preserve">中华人民共和国</w:t>
      </w:r>
      <w:r>
        <w:rPr>
          <w:rFonts w:hint="eastAsia" w:ascii="仿宋_GB2312" w:hAnsi="仿宋_GB2312" w:eastAsia="仿宋_GB2312" w:cs="仿宋_GB2312"/>
          <w:sz w:val="28"/>
          <w:szCs w:val="28"/>
        </w:rPr>
        <w:t xml:space="preserve">民法典》。乙方在履约过程中有政府采购法律法规规定的违法违规情形的,甲方将及时报告本级财政部门。</w:t>
      </w:r>
      <w:r/>
    </w:p>
    <w:p>
      <w:pPr>
        <w:pStyle w:val="991"/>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w:t>
      </w:r>
      <w:r>
        <w:rPr>
          <w:rFonts w:hint="eastAsia" w:ascii="仿宋_GB2312" w:hAnsi="仿宋_GB2312" w:eastAsia="仿宋_GB2312" w:cs="仿宋_GB2312"/>
          <w:sz w:val="28"/>
          <w:szCs w:val="28"/>
        </w:rPr>
        <w:t xml:space="preserve">甲方有权拒绝接受服务，并可单方面解除合同。</w:t>
      </w:r>
      <w:r/>
    </w:p>
    <w:p>
      <w:pPr>
        <w:pStyle w:val="991"/>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 期相同。</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991"/>
        <w:ind w:firstLine="562"/>
        <w:spacing w:line="500" w:lineRule="exact"/>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十三、解决争议的方法</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991"/>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991"/>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991"/>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91"/>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991"/>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991"/>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991"/>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991"/>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firstLine="560"/>
        <w:jc w:val="center"/>
        <w:keepNext/>
        <w:spacing w:line="520" w:lineRule="exact"/>
        <w:rPr>
          <w:rFonts w:ascii="仿宋_GB2312" w:hAnsi="仿宋_GB2312" w:eastAsia="仿宋_GB2312" w:cs="仿宋_GB2312"/>
          <w:sz w:val="28"/>
          <w:szCs w:val="28"/>
        </w:rPr>
        <w:outlineLvl w:val="0"/>
      </w:pPr>
      <w:r>
        <w:rPr>
          <w:rFonts w:hint="eastAsia" w:ascii="仿宋_GB2312" w:hAnsi="仿宋_GB2312" w:eastAsia="仿宋_GB2312" w:cs="仿宋_GB2312"/>
          <w:sz w:val="28"/>
          <w:szCs w:val="28"/>
        </w:rPr>
        <w:t xml:space="preserve">                 签订日期：      年    月   日</w:t>
      </w:r>
      <w:r>
        <w:rPr>
          <w:rFonts w:hint="eastAsia" w:ascii="仿宋_GB2312" w:hAnsi="仿宋_GB2312" w:eastAsia="仿宋_GB2312" w:cs="仿宋_GB2312"/>
          <w:bCs/>
          <w:sz w:val="28"/>
          <w:szCs w:val="28"/>
        </w:rPr>
        <w:br w:type="page" w:clear="all"/>
      </w:r>
      <w:r>
        <w:rPr>
          <w:rFonts w:hint="eastAsia" w:ascii="黑体" w:hAnsi="黑体" w:eastAsia="黑体" w:cs="黑体"/>
          <w:sz w:val="36"/>
          <w:szCs w:val="36"/>
        </w:rPr>
        <w:t xml:space="preserve">第</w:t>
      </w:r>
      <w:bookmarkEnd w:id="140"/>
      <w:r>
        <w:rPr>
          <w:rFonts w:hint="eastAsia" w:ascii="黑体" w:hAnsi="黑体" w:eastAsia="黑体" w:cs="黑体"/>
          <w:sz w:val="36"/>
          <w:szCs w:val="36"/>
        </w:rPr>
        <w:t xml:space="preserve">四章 采购需求</w:t>
      </w:r>
      <w:bookmarkStart w:id="146" w:name="_Toc49090575"/>
      <w:r/>
      <w:bookmarkStart w:id="147" w:name="_Toc26554093"/>
      <w:r/>
      <w:bookmarkEnd w:id="141"/>
      <w:r/>
      <w:bookmarkEnd w:id="142"/>
      <w:r/>
      <w:bookmarkEnd w:id="143"/>
      <w:r/>
      <w:r/>
    </w:p>
    <w:p>
      <w:pPr>
        <w:ind w:firstLine="480"/>
        <w:spacing w:line="360" w:lineRule="auto"/>
        <w:rPr>
          <w:rFonts w:ascii="仿宋" w:hAnsi="仿宋" w:eastAsia="仿宋"/>
          <w:sz w:val="28"/>
          <w:szCs w:val="28"/>
        </w:rPr>
      </w:pPr>
      <w:r>
        <w:rPr>
          <w:rFonts w:ascii="仿宋" w:hAnsi="仿宋" w:eastAsia="仿宋"/>
          <w:sz w:val="28"/>
          <w:szCs w:val="28"/>
        </w:rPr>
      </w:r>
      <w:r/>
    </w:p>
    <w:p>
      <w:pPr>
        <w:ind w:firstLine="480"/>
        <w:spacing w:line="360" w:lineRule="auto"/>
        <w:rPr>
          <w:rFonts w:ascii="仿宋" w:hAnsi="仿宋" w:eastAsia="仿宋"/>
          <w:sz w:val="28"/>
          <w:szCs w:val="28"/>
        </w:rPr>
      </w:pPr>
      <w:r/>
      <w:bookmarkStart w:id="148" w:name="_Toc120614281"/>
      <w:r>
        <w:rPr>
          <w:rFonts w:hint="eastAsia" w:ascii="仿宋" w:hAnsi="仿宋" w:eastAsia="仿宋"/>
          <w:sz w:val="28"/>
          <w:szCs w:val="28"/>
        </w:rPr>
        <w:t xml:space="preserve">1、采购技术要求（对不允许偏离的实质性要求和条件，以斜体且有下划线方式提示）</w:t>
      </w:r>
      <w:r>
        <w:rPr>
          <w:rFonts w:ascii="仿宋" w:hAnsi="仿宋" w:eastAsia="仿宋"/>
          <w:sz w:val="28"/>
          <w:szCs w:val="28"/>
        </w:rPr>
        <w:t xml:space="preserve"> </w:t>
      </w:r>
      <w:r/>
    </w:p>
    <w:p>
      <w:pPr>
        <w:ind w:firstLine="480"/>
        <w:spacing w:line="360" w:lineRule="auto"/>
        <w:rPr>
          <w:rFonts w:ascii="仿宋" w:hAnsi="仿宋" w:eastAsia="仿宋"/>
          <w:sz w:val="28"/>
          <w:szCs w:val="28"/>
        </w:rPr>
      </w:pPr>
      <w:r>
        <w:rPr>
          <w:rFonts w:hint="eastAsia" w:ascii="仿宋" w:hAnsi="仿宋" w:eastAsia="仿宋"/>
          <w:sz w:val="28"/>
          <w:szCs w:val="28"/>
        </w:rPr>
        <w:t xml:space="preserve">2、本次采购范围包括货物的供应、运输、安装、维修、人员培训及售后服务等。</w:t>
      </w:r>
      <w:r/>
    </w:p>
    <w:p>
      <w:pPr>
        <w:ind w:firstLine="480"/>
        <w:spacing w:line="360" w:lineRule="auto"/>
        <w:rPr>
          <w:rFonts w:ascii="仿宋" w:hAnsi="仿宋" w:eastAsia="仿宋"/>
          <w:sz w:val="28"/>
          <w:szCs w:val="28"/>
        </w:rPr>
      </w:pPr>
      <w:r>
        <w:rPr>
          <w:rFonts w:hint="eastAsia" w:ascii="仿宋" w:hAnsi="仿宋" w:eastAsia="仿宋"/>
          <w:sz w:val="28"/>
          <w:szCs w:val="28"/>
        </w:rPr>
        <w:t xml:space="preserve">3、本项目采购预算金额：人民币</w:t>
      </w:r>
      <w:r>
        <w:rPr>
          <w:rFonts w:hint="eastAsia" w:ascii="仿宋" w:hAnsi="仿宋" w:eastAsia="仿宋"/>
          <w:sz w:val="28"/>
          <w:szCs w:val="28"/>
        </w:rPr>
        <w:t xml:space="preserve">肆拾伍万</w:t>
      </w:r>
      <w:r>
        <w:rPr>
          <w:rFonts w:hint="eastAsia" w:ascii="仿宋" w:hAnsi="仿宋" w:eastAsia="仿宋"/>
          <w:sz w:val="28"/>
          <w:szCs w:val="28"/>
        </w:rPr>
        <w:t xml:space="preserve">元整（￥：45万元），如供应商总报价超过预算价的，将被判定为无效响应文件。</w:t>
      </w:r>
      <w:r/>
    </w:p>
    <w:p>
      <w:pPr>
        <w:ind w:firstLine="480"/>
        <w:spacing w:line="360" w:lineRule="auto"/>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本</w:t>
      </w:r>
      <w:r>
        <w:rPr>
          <w:rFonts w:hint="eastAsia" w:ascii="仿宋" w:hAnsi="仿宋" w:eastAsia="仿宋"/>
          <w:sz w:val="28"/>
          <w:szCs w:val="28"/>
        </w:rPr>
        <w:t xml:space="preserve">项目</w:t>
      </w:r>
      <w:r>
        <w:rPr>
          <w:rFonts w:ascii="仿宋" w:hAnsi="仿宋" w:eastAsia="仿宋"/>
          <w:sz w:val="28"/>
          <w:szCs w:val="28"/>
        </w:rPr>
        <w:t xml:space="preserve">核心产品为</w:t>
      </w:r>
      <w:r>
        <w:rPr>
          <w:rFonts w:hint="eastAsia" w:ascii="仿宋" w:hAnsi="仿宋" w:eastAsia="仿宋"/>
          <w:sz w:val="28"/>
          <w:szCs w:val="28"/>
        </w:rPr>
        <w:t xml:space="preserve">：</w:t>
      </w:r>
      <w:r>
        <w:rPr>
          <w:rFonts w:hint="eastAsia" w:ascii="仿宋" w:hAnsi="仿宋" w:eastAsia="仿宋"/>
          <w:sz w:val="28"/>
          <w:szCs w:val="28"/>
          <w:u w:val="single"/>
        </w:rPr>
        <w:t xml:space="preserve">防火墙系统</w:t>
      </w:r>
      <w:r>
        <w:rPr>
          <w:rFonts w:hint="eastAsia" w:ascii="仿宋" w:hAnsi="仿宋" w:eastAsia="仿宋"/>
          <w:sz w:val="28"/>
          <w:szCs w:val="28"/>
        </w:rPr>
        <w:t xml:space="preserve">。</w:t>
      </w:r>
      <w:r/>
    </w:p>
    <w:p>
      <w:pPr>
        <w:pStyle w:val="1061"/>
        <w:ind w:firstLine="480"/>
        <w:spacing w:before="0" w:beforeAutospacing="0" w:after="0" w:afterAutospacing="0" w:line="360" w:lineRule="auto"/>
        <w:rPr>
          <w:rFonts w:ascii="仿宋" w:hAnsi="仿宋" w:eastAsia="仿宋"/>
          <w:sz w:val="28"/>
          <w:szCs w:val="28"/>
        </w:rPr>
      </w:pPr>
      <w:r>
        <w:rPr>
          <w:rFonts w:ascii="仿宋" w:hAnsi="仿宋" w:eastAsia="仿宋" w:cs="仿宋"/>
          <w:sz w:val="28"/>
          <w:szCs w:val="28"/>
        </w:rPr>
        <w:t xml:space="preserve">5</w:t>
      </w:r>
      <w:r>
        <w:rPr>
          <w:rFonts w:hint="eastAsia" w:ascii="仿宋" w:hAnsi="仿宋" w:eastAsia="仿宋"/>
          <w:sz w:val="28"/>
          <w:szCs w:val="28"/>
        </w:rPr>
        <w:t xml:space="preserve">、本次采购标的属于 </w:t>
      </w:r>
      <w:r>
        <w:rPr>
          <w:rFonts w:ascii="仿宋" w:hAnsi="仿宋" w:eastAsia="仿宋"/>
          <w:sz w:val="28"/>
          <w:szCs w:val="28"/>
          <w:u w:val="single"/>
        </w:rPr>
        <w:t xml:space="preserve"> </w:t>
      </w:r>
      <w:r>
        <w:rPr>
          <w:rFonts w:hint="eastAsia" w:ascii="仿宋" w:hAnsi="仿宋" w:eastAsia="仿宋"/>
          <w:sz w:val="28"/>
          <w:szCs w:val="28"/>
          <w:u w:val="single"/>
        </w:rPr>
        <w:t xml:space="preserve">信息安全软件开发服务（C16010500）</w:t>
      </w:r>
      <w:r>
        <w:rPr>
          <w:rFonts w:ascii="仿宋" w:hAnsi="仿宋" w:eastAsia="仿宋"/>
          <w:sz w:val="28"/>
          <w:szCs w:val="28"/>
          <w:u w:val="single"/>
        </w:rPr>
        <w:t xml:space="preserve"> </w:t>
      </w:r>
      <w:r>
        <w:rPr>
          <w:rFonts w:hint="eastAsia" w:ascii="仿宋" w:hAnsi="仿宋" w:eastAsia="仿宋"/>
          <w:sz w:val="28"/>
          <w:szCs w:val="28"/>
        </w:rPr>
        <w:t xml:space="preserve">。</w:t>
      </w:r>
      <w:r/>
    </w:p>
    <w:p>
      <w:pPr>
        <w:jc w:val="center"/>
        <w:spacing w:line="360" w:lineRule="auto"/>
        <w:rPr>
          <w:rFonts w:ascii="宋体" w:hAnsi="宋体" w:eastAsia="黑体" w:cs="仿宋"/>
          <w:b/>
          <w:bCs/>
          <w:sz w:val="36"/>
          <w:szCs w:val="36"/>
          <w:lang w:bidi="ar"/>
        </w:rPr>
      </w:pPr>
      <w:r>
        <w:rPr>
          <w:rFonts w:ascii="宋体" w:hAnsi="宋体" w:eastAsia="黑体" w:cs="仿宋"/>
          <w:b/>
          <w:bCs/>
          <w:sz w:val="36"/>
          <w:szCs w:val="36"/>
          <w:lang w:bidi="ar"/>
        </w:rPr>
      </w:r>
      <w:r/>
    </w:p>
    <w:p>
      <w:pPr>
        <w:jc w:val="center"/>
        <w:spacing w:before="100" w:beforeAutospacing="1" w:after="100" w:afterAutospacing="1" w:line="320" w:lineRule="exact"/>
        <w:rPr>
          <w:rFonts w:ascii="宋体" w:hAnsi="宋体" w:eastAsia="黑体" w:cs="仿宋"/>
          <w:b/>
          <w:bCs/>
          <w:sz w:val="28"/>
          <w:szCs w:val="28"/>
          <w:lang w:bidi="ar"/>
        </w:rPr>
      </w:pPr>
      <w:r>
        <w:rPr>
          <w:rFonts w:hint="eastAsia" w:ascii="宋体" w:hAnsi="宋体" w:eastAsia="黑体" w:cs="仿宋"/>
          <w:b/>
          <w:bCs/>
          <w:sz w:val="28"/>
          <w:szCs w:val="28"/>
          <w:lang w:bidi="ar"/>
        </w:rPr>
        <w:t xml:space="preserve">兴化市财政局网络安全等级保护整改项目</w:t>
      </w:r>
      <w:r/>
    </w:p>
    <w:p>
      <w:pPr>
        <w:pStyle w:val="732"/>
        <w:numPr>
          <w:ilvl w:val="1"/>
          <w:numId w:val="0"/>
        </w:numPr>
        <w:ind w:left="567" w:hanging="567"/>
        <w:jc w:val="center"/>
        <w:spacing w:before="100" w:beforeAutospacing="1" w:after="100" w:afterAutospacing="1" w:line="320" w:lineRule="exact"/>
        <w:rPr>
          <w:rFonts w:ascii="宋体" w:hAnsi="宋体" w:cs="仿宋"/>
          <w:bCs/>
          <w:sz w:val="28"/>
          <w:szCs w:val="28"/>
          <w:lang w:bidi="ar"/>
        </w:rPr>
      </w:pPr>
      <w:r>
        <w:rPr>
          <w:rFonts w:hint="eastAsia" w:ascii="宋体" w:hAnsi="宋体" w:cs="仿宋"/>
          <w:b/>
          <w:bCs/>
          <w:sz w:val="28"/>
          <w:szCs w:val="28"/>
          <w:lang w:bidi="ar"/>
        </w:rPr>
        <w:t xml:space="preserve">采购需求书</w:t>
      </w:r>
      <w:r/>
    </w:p>
    <w:p>
      <w:pPr>
        <w:pStyle w:val="732"/>
        <w:numPr>
          <w:ilvl w:val="1"/>
          <w:numId w:val="0"/>
        </w:numPr>
        <w:ind w:left="567" w:hanging="567"/>
        <w:spacing w:line="480" w:lineRule="exact"/>
        <w:rPr>
          <w:rFonts w:ascii="仿宋" w:hAnsi="仿宋" w:eastAsia="仿宋"/>
          <w:sz w:val="28"/>
          <w:szCs w:val="28"/>
        </w:rPr>
      </w:pPr>
      <w:r>
        <w:rPr>
          <w:rFonts w:hint="eastAsia" w:ascii="仿宋" w:hAnsi="仿宋" w:eastAsia="仿宋"/>
          <w:sz w:val="28"/>
          <w:szCs w:val="28"/>
        </w:rPr>
        <w:t xml:space="preserve">1、项目建设背景和依据</w:t>
      </w:r>
      <w:r/>
    </w:p>
    <w:p>
      <w:pPr>
        <w:ind w:firstLine="560"/>
        <w:spacing w:line="480" w:lineRule="exact"/>
        <w:widowControl/>
        <w:rPr>
          <w:rFonts w:ascii="仿宋" w:hAnsi="仿宋" w:eastAsia="仿宋"/>
          <w:sz w:val="28"/>
          <w:szCs w:val="28"/>
        </w:rPr>
      </w:pPr>
      <w:r>
        <w:rPr>
          <w:rFonts w:ascii="仿宋" w:hAnsi="仿宋" w:eastAsia="仿宋"/>
          <w:sz w:val="28"/>
          <w:szCs w:val="28"/>
        </w:rPr>
        <w:t xml:space="preserve">近年来，</w:t>
      </w:r>
      <w:r>
        <w:rPr>
          <w:rFonts w:hint="eastAsia" w:ascii="仿宋" w:hAnsi="仿宋" w:eastAsia="仿宋"/>
          <w:sz w:val="28"/>
          <w:szCs w:val="28"/>
        </w:rPr>
        <w:t xml:space="preserve">我局</w:t>
      </w:r>
      <w:r>
        <w:rPr>
          <w:rFonts w:ascii="仿宋" w:hAnsi="仿宋" w:eastAsia="仿宋"/>
          <w:sz w:val="28"/>
          <w:szCs w:val="28"/>
        </w:rPr>
        <w:t xml:space="preserve">深入贯彻落实党中央、国务院关于网络安全和信息化建设的决策部署，严格按照财政部、江苏省财政厅关于加强财政系统网络安全的工作要求，持续强化财政网络安全体系建设。自《网络安全法》实施以来，我局通过完善安全管理制度、升级基础防护设施、开展常态</w:t>
      </w:r>
      <w:r>
        <w:rPr>
          <w:rFonts w:ascii="仿宋" w:hAnsi="仿宋" w:eastAsia="仿宋"/>
          <w:sz w:val="28"/>
          <w:szCs w:val="28"/>
        </w:rPr>
        <w:t xml:space="preserve">化安全</w:t>
      </w:r>
      <w:r>
        <w:rPr>
          <w:rFonts w:ascii="仿宋" w:hAnsi="仿宋" w:eastAsia="仿宋"/>
          <w:sz w:val="28"/>
          <w:szCs w:val="28"/>
        </w:rPr>
        <w:t xml:space="preserve">演练，初步构建了财政业务系统的安全屏障，有效保障了预算管理、国库支付、政府采购等核心业务的安全稳定运行。</w:t>
      </w:r>
      <w:r/>
    </w:p>
    <w:p>
      <w:pPr>
        <w:ind w:firstLine="560"/>
        <w:spacing w:line="480" w:lineRule="exact"/>
        <w:widowControl/>
        <w:rPr>
          <w:rFonts w:ascii="仿宋" w:hAnsi="仿宋" w:eastAsia="仿宋"/>
          <w:sz w:val="28"/>
          <w:szCs w:val="28"/>
        </w:rPr>
      </w:pPr>
      <w:r>
        <w:rPr>
          <w:rFonts w:ascii="仿宋" w:hAnsi="仿宋" w:eastAsia="仿宋"/>
          <w:sz w:val="28"/>
          <w:szCs w:val="28"/>
        </w:rPr>
        <w:t xml:space="preserve">随着财政数字化转型的加速推进，云计算、大数据等技术在财政领域的深度应用，以及勒索攻击、数据泄露等网络安全威胁的复杂化，现有安全防护体系面临严峻挑战。为全面落实《国家"十四五"财政信息化规划》关于"构建智慧财政安全生态"的要求，积极响应财政部《关于加快推进地方财政信息化建设的指导意见》（财办〔2021〕32号）和《江苏省财政网络安全三年行动方案（2023-2025年）》，亟需通过智能化、</w:t>
      </w:r>
      <w:r>
        <w:rPr>
          <w:rFonts w:ascii="仿宋" w:hAnsi="仿宋" w:eastAsia="仿宋"/>
          <w:sz w:val="28"/>
          <w:szCs w:val="28"/>
        </w:rPr>
        <w:t xml:space="preserve">体系化的安全能力升级，实现财政数据全生命周期防护、业务系统立体化防御和网络安全态势主动感知，为高质量发展筑牢数字安全基座。</w:t>
      </w:r>
      <w:r/>
    </w:p>
    <w:p>
      <w:pPr>
        <w:ind w:firstLine="560"/>
        <w:spacing w:line="480" w:lineRule="exact"/>
        <w:widowControl/>
        <w:rPr>
          <w:rFonts w:ascii="仿宋" w:hAnsi="仿宋" w:eastAsia="仿宋"/>
          <w:sz w:val="28"/>
          <w:szCs w:val="28"/>
        </w:rPr>
      </w:pPr>
      <w:r>
        <w:rPr>
          <w:rFonts w:hint="eastAsia" w:ascii="仿宋" w:hAnsi="仿宋" w:eastAsia="仿宋"/>
          <w:sz w:val="28"/>
          <w:szCs w:val="28"/>
        </w:rPr>
        <w:t xml:space="preserve">依据以下信息化建设依据：</w:t>
      </w:r>
      <w:r/>
    </w:p>
    <w:p>
      <w:pPr>
        <w:numPr>
          <w:ilvl w:val="0"/>
          <w:numId w:val="5"/>
        </w:numPr>
        <w:spacing w:line="480" w:lineRule="exact"/>
        <w:widowControl/>
        <w:rPr>
          <w:rFonts w:ascii="仿宋" w:hAnsi="仿宋" w:eastAsia="仿宋"/>
          <w:sz w:val="28"/>
          <w:szCs w:val="28"/>
        </w:rPr>
      </w:pPr>
      <w:r>
        <w:rPr>
          <w:rFonts w:ascii="仿宋" w:hAnsi="仿宋" w:eastAsia="仿宋"/>
          <w:sz w:val="28"/>
          <w:szCs w:val="28"/>
        </w:rPr>
        <w:t xml:space="preserve">中共中央、国务院《网络安全法》《数据安全法》《个人信息保护法》</w:t>
      </w:r>
      <w:r/>
    </w:p>
    <w:p>
      <w:pPr>
        <w:numPr>
          <w:ilvl w:val="0"/>
          <w:numId w:val="5"/>
        </w:numPr>
        <w:spacing w:line="480" w:lineRule="exact"/>
        <w:widowControl/>
        <w:rPr>
          <w:rFonts w:ascii="仿宋" w:hAnsi="仿宋" w:eastAsia="仿宋"/>
          <w:sz w:val="28"/>
          <w:szCs w:val="28"/>
        </w:rPr>
      </w:pPr>
      <w:r>
        <w:rPr>
          <w:rFonts w:ascii="仿宋" w:hAnsi="仿宋" w:eastAsia="仿宋"/>
          <w:sz w:val="28"/>
          <w:szCs w:val="28"/>
        </w:rPr>
        <w:t xml:space="preserve">财政部《财政信息化三年重点规划（2022-2024年）》（财信〔2022〕5号）</w:t>
      </w:r>
      <w:r/>
    </w:p>
    <w:p>
      <w:pPr>
        <w:numPr>
          <w:ilvl w:val="0"/>
          <w:numId w:val="5"/>
        </w:numPr>
        <w:spacing w:line="480" w:lineRule="exact"/>
        <w:widowControl/>
        <w:rPr>
          <w:rFonts w:ascii="仿宋" w:hAnsi="仿宋" w:eastAsia="仿宋"/>
          <w:sz w:val="28"/>
          <w:szCs w:val="28"/>
        </w:rPr>
      </w:pPr>
      <w:r>
        <w:rPr>
          <w:rFonts w:ascii="仿宋" w:hAnsi="仿宋" w:eastAsia="仿宋"/>
          <w:sz w:val="28"/>
          <w:szCs w:val="28"/>
        </w:rPr>
        <w:t xml:space="preserve">江苏省财政厅《关于深化财政系统网络安全防护体系建设的实施意见》（苏财信〔2022〕8号）</w:t>
      </w:r>
      <w:r/>
    </w:p>
    <w:p>
      <w:pPr>
        <w:numPr>
          <w:ilvl w:val="0"/>
          <w:numId w:val="5"/>
        </w:numPr>
        <w:spacing w:line="480" w:lineRule="exact"/>
        <w:widowControl/>
        <w:rPr>
          <w:rFonts w:ascii="仿宋" w:hAnsi="仿宋" w:eastAsia="仿宋"/>
          <w:sz w:val="28"/>
          <w:szCs w:val="28"/>
        </w:rPr>
      </w:pPr>
      <w:r>
        <w:rPr>
          <w:rFonts w:ascii="仿宋" w:hAnsi="仿宋" w:eastAsia="仿宋"/>
          <w:sz w:val="28"/>
          <w:szCs w:val="28"/>
        </w:rPr>
        <w:t xml:space="preserve">泰州市《政务信息系统网络安全等级保护工作实施方案》（</w:t>
      </w:r>
      <w:r>
        <w:rPr>
          <w:rFonts w:ascii="仿宋" w:hAnsi="仿宋" w:eastAsia="仿宋"/>
          <w:sz w:val="28"/>
          <w:szCs w:val="28"/>
        </w:rPr>
        <w:t xml:space="preserve">泰政办</w:t>
      </w:r>
      <w:r>
        <w:rPr>
          <w:rFonts w:ascii="仿宋" w:hAnsi="仿宋" w:eastAsia="仿宋"/>
          <w:sz w:val="28"/>
          <w:szCs w:val="28"/>
        </w:rPr>
        <w:t xml:space="preserve">发〔2020〕15号）</w:t>
      </w:r>
      <w:r/>
    </w:p>
    <w:p>
      <w:pPr>
        <w:numPr>
          <w:ilvl w:val="0"/>
          <w:numId w:val="5"/>
        </w:numPr>
        <w:spacing w:line="480" w:lineRule="exact"/>
        <w:widowControl/>
        <w:rPr>
          <w:rFonts w:ascii="仿宋" w:hAnsi="仿宋" w:eastAsia="仿宋"/>
          <w:sz w:val="28"/>
          <w:szCs w:val="28"/>
        </w:rPr>
      </w:pPr>
      <w:r>
        <w:rPr>
          <w:rFonts w:ascii="仿宋" w:hAnsi="仿宋" w:eastAsia="仿宋"/>
          <w:sz w:val="28"/>
          <w:szCs w:val="28"/>
        </w:rPr>
        <w:t xml:space="preserve">兴化市人民政府《数字政府建设行动计划（2021-2025年）》</w:t>
      </w:r>
      <w:r/>
    </w:p>
    <w:p>
      <w:pPr>
        <w:numPr>
          <w:ilvl w:val="0"/>
          <w:numId w:val="5"/>
        </w:numPr>
        <w:spacing w:line="480" w:lineRule="exact"/>
        <w:widowControl/>
        <w:rPr>
          <w:rFonts w:ascii="仿宋" w:hAnsi="仿宋" w:eastAsia="仿宋"/>
          <w:sz w:val="28"/>
          <w:szCs w:val="28"/>
        </w:rPr>
      </w:pPr>
      <w:r>
        <w:rPr>
          <w:rFonts w:ascii="仿宋" w:hAnsi="仿宋" w:eastAsia="仿宋"/>
          <w:sz w:val="28"/>
          <w:szCs w:val="28"/>
        </w:rPr>
        <w:t xml:space="preserve">《信息安全技术网络安全等级保护基本要求》（GB/T 22239-2019）</w:t>
      </w:r>
      <w:r/>
    </w:p>
    <w:p>
      <w:pPr>
        <w:numPr>
          <w:ilvl w:val="0"/>
          <w:numId w:val="5"/>
        </w:numPr>
        <w:spacing w:line="480" w:lineRule="exact"/>
        <w:widowControl/>
        <w:rPr>
          <w:rFonts w:ascii="仿宋" w:hAnsi="仿宋" w:eastAsia="仿宋"/>
          <w:sz w:val="28"/>
          <w:szCs w:val="28"/>
        </w:rPr>
      </w:pPr>
      <w:r>
        <w:rPr>
          <w:rFonts w:ascii="仿宋" w:hAnsi="仿宋" w:eastAsia="仿宋"/>
          <w:sz w:val="28"/>
          <w:szCs w:val="28"/>
        </w:rPr>
        <w:t xml:space="preserve">财政部《财政核心业务一体化系统安全管理规范》</w:t>
      </w:r>
      <w:r/>
    </w:p>
    <w:p>
      <w:pPr>
        <w:numPr>
          <w:ilvl w:val="0"/>
          <w:numId w:val="5"/>
        </w:numPr>
        <w:spacing w:line="480" w:lineRule="exact"/>
        <w:widowControl/>
        <w:rPr>
          <w:rFonts w:ascii="仿宋" w:hAnsi="仿宋" w:eastAsia="仿宋"/>
          <w:sz w:val="28"/>
          <w:szCs w:val="28"/>
        </w:rPr>
      </w:pPr>
      <w:r>
        <w:rPr>
          <w:rFonts w:ascii="仿宋" w:hAnsi="仿宋" w:eastAsia="仿宋"/>
          <w:sz w:val="28"/>
          <w:szCs w:val="28"/>
        </w:rPr>
        <w:t xml:space="preserve">江苏省《政务云平台安全运营白皮书（2023版）》</w:t>
      </w:r>
      <w:r/>
    </w:p>
    <w:p>
      <w:pPr>
        <w:numPr>
          <w:ilvl w:val="0"/>
          <w:numId w:val="5"/>
        </w:numPr>
        <w:spacing w:line="480" w:lineRule="exact"/>
        <w:widowControl/>
        <w:rPr>
          <w:rFonts w:ascii="仿宋" w:hAnsi="仿宋" w:eastAsia="仿宋"/>
          <w:sz w:val="28"/>
          <w:szCs w:val="28"/>
        </w:rPr>
      </w:pPr>
      <w:r>
        <w:rPr>
          <w:rFonts w:ascii="仿宋" w:hAnsi="仿宋" w:eastAsia="仿宋"/>
          <w:sz w:val="28"/>
          <w:szCs w:val="28"/>
        </w:rPr>
        <w:t xml:space="preserve">国家密码管理局《政务信息系统密码应用实施指南》</w:t>
      </w:r>
      <w:r/>
    </w:p>
    <w:p>
      <w:pPr>
        <w:numPr>
          <w:ilvl w:val="0"/>
          <w:numId w:val="5"/>
        </w:numPr>
        <w:spacing w:line="480" w:lineRule="exact"/>
        <w:widowControl/>
        <w:rPr>
          <w:rFonts w:ascii="仿宋" w:hAnsi="仿宋" w:eastAsia="仿宋"/>
          <w:sz w:val="28"/>
          <w:szCs w:val="28"/>
        </w:rPr>
      </w:pPr>
      <w:r>
        <w:rPr>
          <w:rFonts w:ascii="仿宋" w:hAnsi="仿宋" w:eastAsia="仿宋"/>
          <w:sz w:val="28"/>
          <w:szCs w:val="28"/>
        </w:rPr>
        <w:t xml:space="preserve">兴化市财政局《财政内控信息化安全管理办法》（兴财发〔2021〕26号）</w:t>
      </w:r>
      <w:r/>
    </w:p>
    <w:p>
      <w:pPr>
        <w:pStyle w:val="732"/>
        <w:numPr>
          <w:ilvl w:val="1"/>
          <w:numId w:val="0"/>
        </w:numPr>
        <w:ind w:left="567" w:hanging="567"/>
        <w:spacing w:line="480" w:lineRule="exact"/>
        <w:rPr>
          <w:rFonts w:ascii="仿宋" w:hAnsi="仿宋" w:eastAsia="仿宋" w:cs="Times New Roman"/>
          <w:sz w:val="28"/>
          <w:szCs w:val="28"/>
        </w:rPr>
      </w:pPr>
      <w:r>
        <w:rPr>
          <w:rFonts w:hint="eastAsia" w:ascii="仿宋" w:hAnsi="仿宋" w:eastAsia="仿宋" w:cs="Times New Roman"/>
          <w:b/>
          <w:sz w:val="28"/>
          <w:szCs w:val="28"/>
        </w:rPr>
        <w:t xml:space="preserve">2、</w:t>
      </w:r>
      <w:r>
        <w:rPr>
          <w:rFonts w:hint="eastAsia" w:ascii="仿宋" w:hAnsi="仿宋" w:eastAsia="仿宋" w:cs="Times New Roman"/>
          <w:sz w:val="28"/>
          <w:szCs w:val="28"/>
        </w:rPr>
        <w:t xml:space="preserve">项目建设的意义和必要性</w:t>
      </w:r>
      <w:r/>
    </w:p>
    <w:p>
      <w:pPr>
        <w:pStyle w:val="1259"/>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财政数据安全风险亟待系统性防控</w:t>
      </w:r>
      <w:r/>
    </w:p>
    <w:p>
      <w:pPr>
        <w:pStyle w:val="1259"/>
        <w:ind w:firstLine="560"/>
        <w:spacing w:line="480" w:lineRule="exact"/>
        <w:rPr>
          <w:rFonts w:ascii="仿宋" w:hAnsi="仿宋" w:eastAsia="仿宋" w:cs="仿宋"/>
          <w:sz w:val="28"/>
          <w:szCs w:val="28"/>
        </w:rPr>
      </w:pPr>
      <w:r>
        <w:rPr>
          <w:rFonts w:hint="eastAsia" w:ascii="仿宋" w:hAnsi="仿宋" w:eastAsia="仿宋" w:cs="仿宋"/>
          <w:sz w:val="28"/>
          <w:szCs w:val="28"/>
        </w:rPr>
        <w:tab/>
      </w:r>
      <w:r>
        <w:rPr>
          <w:rFonts w:ascii="仿宋" w:hAnsi="仿宋" w:eastAsia="仿宋" w:cs="仿宋"/>
          <w:sz w:val="28"/>
          <w:szCs w:val="28"/>
        </w:rPr>
        <w:t xml:space="preserve">当前财政业务系统承载预算编制、国库集中支付、政府采购、国有资产管理等核心数据，涉及全市财政资金全流程管理。随着跨部门数据共享、云端业务协同的深化，数据泄露、篡改及勒索攻击风险显著增加。2022年国家互联网应急中心报告显示，政务系统遭受高级持续性威胁（APT）攻击同比上升37%，亟需构建覆盖数据采集、传输、存储、应用的全生命周期防护体系，防范敏感财政数据外泄引发的经济安全与社会稳定风险。</w:t>
      </w:r>
      <w:r/>
    </w:p>
    <w:p>
      <w:pPr>
        <w:pStyle w:val="1259"/>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（2）合</w:t>
      </w:r>
      <w:r>
        <w:rPr>
          <w:rFonts w:hint="eastAsia" w:ascii="仿宋" w:hAnsi="仿宋" w:eastAsia="仿宋" w:cs="仿宋"/>
          <w:sz w:val="28"/>
          <w:szCs w:val="28"/>
        </w:rPr>
        <w:t xml:space="preserve">规</w:t>
      </w:r>
      <w:r>
        <w:rPr>
          <w:rFonts w:hint="eastAsia" w:ascii="仿宋" w:hAnsi="仿宋" w:eastAsia="仿宋" w:cs="仿宋"/>
          <w:sz w:val="28"/>
          <w:szCs w:val="28"/>
        </w:rPr>
        <w:t xml:space="preserve">风险</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w:t>
      </w:r>
      <w:r>
        <w:rPr>
          <w:rFonts w:ascii="仿宋" w:hAnsi="仿宋" w:eastAsia="仿宋" w:cs="仿宋"/>
          <w:sz w:val="28"/>
          <w:szCs w:val="28"/>
        </w:rPr>
        <w:t xml:space="preserve">数据安全法》《个人信息保护法》等法规明确政务部门数据管理主</w:t>
      </w:r>
      <w:r>
        <w:rPr>
          <w:rFonts w:ascii="仿宋" w:hAnsi="仿宋" w:eastAsia="仿宋" w:cs="仿宋"/>
          <w:sz w:val="28"/>
          <w:szCs w:val="28"/>
        </w:rPr>
        <w:t xml:space="preserve">体责任，财政部《财政信息化三年重点规划》要求2024年底前完成省级以下财政系统等保全覆盖。经自查评估，我局现有</w:t>
      </w:r>
      <w:r>
        <w:rPr>
          <w:rFonts w:hint="eastAsia" w:ascii="仿宋" w:hAnsi="仿宋" w:eastAsia="仿宋" w:cs="仿宋"/>
          <w:sz w:val="28"/>
          <w:szCs w:val="28"/>
        </w:rPr>
        <w:t xml:space="preserve">核心</w:t>
      </w:r>
      <w:r>
        <w:rPr>
          <w:rFonts w:ascii="仿宋" w:hAnsi="仿宋" w:eastAsia="仿宋" w:cs="仿宋"/>
          <w:sz w:val="28"/>
          <w:szCs w:val="28"/>
        </w:rPr>
        <w:t xml:space="preserve">业务系统未</w:t>
      </w:r>
      <w:r>
        <w:rPr>
          <w:rFonts w:ascii="仿宋" w:hAnsi="仿宋" w:eastAsia="仿宋" w:cs="仿宋"/>
          <w:sz w:val="28"/>
          <w:szCs w:val="28"/>
        </w:rPr>
        <w:t xml:space="preserve">达到等保</w:t>
      </w:r>
      <w:r>
        <w:rPr>
          <w:rFonts w:ascii="仿宋" w:hAnsi="仿宋" w:eastAsia="仿宋" w:cs="仿宋"/>
          <w:sz w:val="28"/>
          <w:szCs w:val="28"/>
        </w:rPr>
        <w:t xml:space="preserve">2.0标准，身份认证、日志审计等控制</w:t>
      </w:r>
      <w:r>
        <w:rPr>
          <w:rFonts w:ascii="仿宋" w:hAnsi="仿宋" w:eastAsia="仿宋" w:cs="仿宋"/>
          <w:sz w:val="28"/>
          <w:szCs w:val="28"/>
        </w:rPr>
        <w:t xml:space="preserve">项存在合规</w:t>
      </w:r>
      <w:r>
        <w:rPr>
          <w:rFonts w:ascii="仿宋" w:hAnsi="仿宋" w:eastAsia="仿宋" w:cs="仿宋"/>
          <w:sz w:val="28"/>
          <w:szCs w:val="28"/>
        </w:rPr>
        <w:t xml:space="preserve">缺口，亟需</w:t>
      </w:r>
      <w:r>
        <w:rPr>
          <w:rFonts w:hint="eastAsia" w:ascii="仿宋" w:hAnsi="仿宋" w:eastAsia="仿宋" w:cs="仿宋"/>
          <w:sz w:val="28"/>
          <w:szCs w:val="28"/>
        </w:rPr>
        <w:t xml:space="preserve">进行网络安全改造</w:t>
      </w:r>
      <w:r>
        <w:rPr>
          <w:rFonts w:ascii="仿宋" w:hAnsi="仿宋" w:eastAsia="仿宋" w:cs="仿宋"/>
          <w:sz w:val="28"/>
          <w:szCs w:val="28"/>
        </w:rPr>
        <w:t xml:space="preserve">，确保</w:t>
      </w:r>
      <w:r>
        <w:rPr>
          <w:rFonts w:hint="eastAsia" w:ascii="仿宋" w:hAnsi="仿宋" w:eastAsia="仿宋" w:cs="仿宋"/>
          <w:sz w:val="28"/>
          <w:szCs w:val="28"/>
        </w:rPr>
        <w:t xml:space="preserve">符合相关法律法规要求</w:t>
      </w:r>
      <w:r>
        <w:rPr>
          <w:rFonts w:ascii="仿宋" w:hAnsi="仿宋" w:eastAsia="仿宋" w:cs="仿宋"/>
          <w:sz w:val="28"/>
          <w:szCs w:val="28"/>
        </w:rPr>
        <w:t xml:space="preserve">。</w:t>
      </w:r>
      <w:r/>
    </w:p>
    <w:p>
      <w:pPr>
        <w:pStyle w:val="732"/>
        <w:numPr>
          <w:ilvl w:val="1"/>
          <w:numId w:val="0"/>
        </w:numPr>
        <w:ind w:left="567" w:hanging="567"/>
        <w:spacing w:line="480" w:lineRule="exact"/>
        <w:rPr>
          <w:rFonts w:ascii="仿宋" w:hAnsi="仿宋" w:eastAsia="仿宋" w:cs="Times New Roman"/>
          <w:sz w:val="28"/>
          <w:szCs w:val="28"/>
        </w:rPr>
      </w:pPr>
      <w:r>
        <w:rPr>
          <w:rFonts w:hint="eastAsia" w:ascii="仿宋" w:hAnsi="仿宋" w:eastAsia="仿宋" w:cs="Times New Roman"/>
          <w:b/>
          <w:sz w:val="28"/>
          <w:szCs w:val="28"/>
        </w:rPr>
        <w:t xml:space="preserve">3、</w:t>
      </w:r>
      <w:r>
        <w:rPr>
          <w:rFonts w:hint="eastAsia" w:ascii="仿宋" w:hAnsi="仿宋" w:eastAsia="仿宋" w:cs="Times New Roman"/>
          <w:sz w:val="28"/>
          <w:szCs w:val="28"/>
        </w:rPr>
        <w:t xml:space="preserve">项目建设概况</w:t>
      </w:r>
      <w:r/>
    </w:p>
    <w:p>
      <w:pPr>
        <w:ind w:firstLine="420"/>
        <w:jc w:val="left"/>
        <w:spacing w:line="480" w:lineRule="exact"/>
        <w:widowControl/>
        <w:rPr>
          <w:rFonts w:ascii="仿宋" w:hAnsi="仿宋" w:eastAsia="仿宋"/>
          <w:sz w:val="28"/>
          <w:szCs w:val="28"/>
        </w:rPr>
      </w:pPr>
      <w:r>
        <w:rPr>
          <w:rFonts w:hint="eastAsia" w:ascii="仿宋" w:hAnsi="仿宋" w:eastAsia="仿宋"/>
          <w:sz w:val="28"/>
          <w:szCs w:val="28"/>
        </w:rPr>
        <w:t xml:space="preserve">兴化市财政局当前主要业务系统为“财政一体化信息系统”，该系统于 2018 年立项，由“北京用友政务软件股份有限公司”研发。</w:t>
      </w:r>
      <w:r>
        <w:rPr>
          <w:rFonts w:hint="eastAsia" w:ascii="仿宋" w:hAnsi="仿宋" w:eastAsia="仿宋"/>
          <w:sz w:val="28"/>
          <w:szCs w:val="28"/>
        </w:rPr>
        <w:t xml:space="preserve">现系统</w:t>
      </w:r>
      <w:r>
        <w:rPr>
          <w:rFonts w:hint="eastAsia" w:ascii="仿宋" w:hAnsi="仿宋" w:eastAsia="仿宋"/>
          <w:sz w:val="28"/>
          <w:szCs w:val="28"/>
        </w:rPr>
        <w:t xml:space="preserve">应用部署在兴化市财政局五楼机房，由“无锡宏宇科技有限公司”负责维护。兴化市财政局是该信息系统等级保护的责任单位。边界处通过防火墙设备进行控制，设备实现数据安全访问，所有跨越边界的数据通信均通过防火墙设备的指定端口，并启用了安全策略。已按照“谁主管谁负责，谁运营谁负责”的原则，制定了《网络安全总体策略》，明确了网络安全工作的总体方针和安全策略，阐明了机构安全工作的总体目标、范围、原则和安全框架。</w:t>
      </w:r>
      <w:r/>
    </w:p>
    <w:p>
      <w:pPr>
        <w:ind w:firstLine="420"/>
        <w:jc w:val="left"/>
        <w:spacing w:line="480" w:lineRule="exact"/>
        <w:widowControl/>
        <w:rPr>
          <w:rFonts w:ascii="仿宋" w:hAnsi="仿宋" w:eastAsia="仿宋"/>
          <w:sz w:val="28"/>
          <w:szCs w:val="28"/>
        </w:rPr>
      </w:pPr>
      <w:r>
        <w:rPr>
          <w:rFonts w:hint="eastAsia" w:ascii="仿宋" w:hAnsi="仿宋" w:eastAsia="仿宋"/>
          <w:sz w:val="28"/>
          <w:szCs w:val="28"/>
        </w:rPr>
        <w:t xml:space="preserve">基于当下复杂的网络安全形势，保障财政一体化系统的稳定运行，兴化市财政局于2024年下旬对财政一体化系统进行网络安全等级保护测评工作，其中测评结论概括如下：</w:t>
      </w:r>
      <w:r/>
    </w:p>
    <w:p>
      <w:pPr>
        <w:pStyle w:val="835"/>
        <w:ind w:firstLine="420"/>
        <w:spacing w:line="480" w:lineRule="exact"/>
        <w:rPr>
          <w:rFonts w:ascii="仿宋" w:hAnsi="仿宋" w:eastAsia="仿宋"/>
          <w:sz w:val="28"/>
          <w:szCs w:val="28"/>
        </w:rPr>
      </w:pPr>
      <w:r>
        <w:rPr>
          <w:rFonts w:ascii="仿宋" w:hAnsi="仿宋" w:eastAsia="仿宋"/>
          <w:sz w:val="28"/>
          <w:szCs w:val="28"/>
        </w:rPr>
        <w:t xml:space="preserve">本次测评按照测评项汇总并分析后，共发现安全问题 33 </w:t>
      </w:r>
      <w:r>
        <w:rPr>
          <w:rFonts w:ascii="仿宋" w:hAnsi="仿宋" w:eastAsia="仿宋"/>
          <w:sz w:val="28"/>
          <w:szCs w:val="28"/>
        </w:rPr>
        <w:t xml:space="preserve">个</w:t>
      </w:r>
      <w:r>
        <w:rPr>
          <w:rFonts w:ascii="仿宋" w:hAnsi="仿宋" w:eastAsia="仿宋"/>
          <w:sz w:val="28"/>
          <w:szCs w:val="28"/>
        </w:rPr>
        <w:t xml:space="preserve">，其中高风险问题 8 </w:t>
      </w:r>
      <w:r>
        <w:rPr>
          <w:rFonts w:ascii="仿宋" w:hAnsi="仿宋" w:eastAsia="仿宋"/>
          <w:sz w:val="28"/>
          <w:szCs w:val="28"/>
        </w:rPr>
        <w:t xml:space="preserve">个</w:t>
      </w:r>
      <w:r>
        <w:rPr>
          <w:rFonts w:ascii="仿宋" w:hAnsi="仿宋" w:eastAsia="仿宋"/>
          <w:sz w:val="28"/>
          <w:szCs w:val="28"/>
        </w:rPr>
        <w:t xml:space="preserve">，中风险问题 20 </w:t>
      </w:r>
      <w:r>
        <w:rPr>
          <w:rFonts w:ascii="仿宋" w:hAnsi="仿宋" w:eastAsia="仿宋"/>
          <w:sz w:val="28"/>
          <w:szCs w:val="28"/>
        </w:rPr>
        <w:t xml:space="preserve">个</w:t>
      </w:r>
      <w:r>
        <w:rPr>
          <w:rFonts w:ascii="仿宋" w:hAnsi="仿宋" w:eastAsia="仿宋"/>
          <w:sz w:val="28"/>
          <w:szCs w:val="28"/>
        </w:rPr>
        <w:t xml:space="preserve">，低风险问题 5 </w:t>
      </w:r>
      <w:r>
        <w:rPr>
          <w:rFonts w:ascii="仿宋" w:hAnsi="仿宋" w:eastAsia="仿宋"/>
          <w:sz w:val="28"/>
          <w:szCs w:val="28"/>
        </w:rPr>
        <w:t xml:space="preserve">个</w:t>
      </w:r>
      <w:r>
        <w:rPr>
          <w:rFonts w:ascii="仿宋" w:hAnsi="仿宋" w:eastAsia="仿宋"/>
          <w:sz w:val="28"/>
          <w:szCs w:val="28"/>
        </w:rPr>
        <w:t xml:space="preserve">；选取的测评指标总数为135 </w:t>
      </w:r>
      <w:r>
        <w:rPr>
          <w:rFonts w:ascii="仿宋" w:hAnsi="仿宋" w:eastAsia="仿宋"/>
          <w:sz w:val="28"/>
          <w:szCs w:val="28"/>
        </w:rPr>
        <w:t xml:space="preserve">个</w:t>
      </w:r>
      <w:r>
        <w:rPr>
          <w:rFonts w:ascii="仿宋" w:hAnsi="仿宋" w:eastAsia="仿宋"/>
          <w:sz w:val="28"/>
          <w:szCs w:val="28"/>
        </w:rPr>
        <w:t xml:space="preserve">，不适用指标为 11 </w:t>
      </w:r>
      <w:r>
        <w:rPr>
          <w:rFonts w:ascii="仿宋" w:hAnsi="仿宋" w:eastAsia="仿宋"/>
          <w:sz w:val="28"/>
          <w:szCs w:val="28"/>
        </w:rPr>
        <w:t xml:space="preserve">个</w:t>
      </w:r>
      <w:r>
        <w:rPr>
          <w:rFonts w:ascii="仿宋" w:hAnsi="仿宋" w:eastAsia="仿宋"/>
          <w:sz w:val="28"/>
          <w:szCs w:val="28"/>
        </w:rPr>
        <w:t xml:space="preserve">，测评指标符合率为 73.39%，测评指标部分符合率为 9.68%，测评指标不符合率为 16.94%；本次测评的综合得分为 63.26分，测评结论为</w:t>
      </w:r>
      <w:r>
        <w:rPr>
          <w:rFonts w:hint="eastAsia" w:ascii="仿宋" w:hAnsi="仿宋" w:eastAsia="仿宋"/>
          <w:sz w:val="28"/>
          <w:szCs w:val="28"/>
        </w:rPr>
        <w:t xml:space="preserve">“</w:t>
      </w:r>
      <w:r>
        <w:rPr>
          <w:rFonts w:ascii="仿宋" w:hAnsi="仿宋" w:eastAsia="仿宋"/>
          <w:sz w:val="28"/>
          <w:szCs w:val="28"/>
        </w:rPr>
        <w:t xml:space="preserve">差</w:t>
      </w:r>
      <w:r>
        <w:rPr>
          <w:rFonts w:hint="eastAsia" w:ascii="仿宋" w:hAnsi="仿宋" w:eastAsia="仿宋"/>
          <w:sz w:val="28"/>
          <w:szCs w:val="28"/>
        </w:rPr>
        <w:t xml:space="preserve">”</w:t>
      </w:r>
      <w:r>
        <w:rPr>
          <w:rFonts w:ascii="仿宋" w:hAnsi="仿宋" w:eastAsia="仿宋"/>
          <w:sz w:val="28"/>
          <w:szCs w:val="28"/>
        </w:rPr>
        <w:t xml:space="preserve">。</w:t>
      </w:r>
      <w:r/>
    </w:p>
    <w:p>
      <w:pPr>
        <w:pStyle w:val="732"/>
        <w:numPr>
          <w:ilvl w:val="1"/>
          <w:numId w:val="0"/>
        </w:numPr>
        <w:ind w:left="567" w:hanging="567"/>
        <w:spacing w:line="480" w:lineRule="exact"/>
        <w:rPr>
          <w:rFonts w:ascii="仿宋" w:hAnsi="仿宋" w:eastAsia="仿宋" w:cs="Times New Roman"/>
          <w:sz w:val="28"/>
          <w:szCs w:val="28"/>
        </w:rPr>
      </w:pPr>
      <w:r/>
      <w:bookmarkStart w:id="149" w:name="_Toc20175"/>
      <w:r>
        <w:rPr>
          <w:rFonts w:hint="eastAsia" w:ascii="仿宋" w:hAnsi="仿宋" w:eastAsia="仿宋" w:cs="Times New Roman"/>
          <w:b/>
          <w:sz w:val="28"/>
          <w:szCs w:val="28"/>
        </w:rPr>
        <w:t xml:space="preserve">4</w:t>
      </w:r>
      <w:r>
        <w:rPr>
          <w:rFonts w:hint="eastAsia" w:ascii="仿宋" w:hAnsi="仿宋" w:eastAsia="仿宋" w:cs="Times New Roman"/>
          <w:sz w:val="28"/>
          <w:szCs w:val="28"/>
        </w:rPr>
        <w:t xml:space="preserve">、项目建设结论和建议</w:t>
      </w:r>
      <w:bookmarkEnd w:id="149"/>
      <w:r/>
      <w:r/>
    </w:p>
    <w:p>
      <w:pPr>
        <w:ind w:firstLine="420"/>
        <w:jc w:val="left"/>
        <w:spacing w:line="480" w:lineRule="exact"/>
        <w:widowControl/>
        <w:rPr>
          <w:rFonts w:ascii="仿宋" w:hAnsi="仿宋" w:eastAsia="仿宋"/>
          <w:sz w:val="28"/>
          <w:szCs w:val="28"/>
        </w:rPr>
      </w:pPr>
      <w:r>
        <w:rPr>
          <w:rFonts w:ascii="仿宋" w:hAnsi="仿宋" w:eastAsia="仿宋"/>
          <w:sz w:val="28"/>
          <w:szCs w:val="28"/>
        </w:rPr>
        <w:t xml:space="preserve">通过对信息系统基本安全保护状态的分析，</w:t>
      </w:r>
      <w:r>
        <w:rPr>
          <w:rFonts w:hint="eastAsia" w:ascii="仿宋" w:hAnsi="仿宋" w:eastAsia="仿宋"/>
          <w:sz w:val="28"/>
          <w:szCs w:val="28"/>
        </w:rPr>
        <w:t xml:space="preserve">我局</w:t>
      </w:r>
      <w:r>
        <w:rPr>
          <w:rFonts w:ascii="仿宋" w:hAnsi="仿宋" w:eastAsia="仿宋"/>
          <w:sz w:val="28"/>
          <w:szCs w:val="28"/>
        </w:rPr>
        <w:t xml:space="preserve">针对财政一体</w:t>
      </w:r>
      <w:r>
        <w:rPr>
          <w:rFonts w:hint="eastAsia" w:ascii="仿宋" w:hAnsi="仿宋" w:eastAsia="仿宋"/>
          <w:sz w:val="28"/>
          <w:szCs w:val="28"/>
        </w:rPr>
        <w:t xml:space="preserve">化系统面临的主要安全威胁采取了相应的安全机制，但由于部分安全保护措施的缺失，安全防护设备的缺乏，以及不够完善的日常运</w:t>
      </w:r>
      <w:r>
        <w:rPr>
          <w:rFonts w:hint="eastAsia" w:ascii="仿宋" w:hAnsi="仿宋" w:eastAsia="仿宋"/>
          <w:sz w:val="28"/>
          <w:szCs w:val="28"/>
        </w:rPr>
        <w:t xml:space="preserve">维管理</w:t>
      </w:r>
      <w:r>
        <w:rPr>
          <w:rFonts w:hint="eastAsia" w:ascii="仿宋" w:hAnsi="仿宋" w:eastAsia="仿宋"/>
          <w:sz w:val="28"/>
          <w:szCs w:val="28"/>
        </w:rPr>
        <w:t xml:space="preserve">体系，无法对系统起到有效防护，最终使得信息系统整体安全防护能力偏低。</w:t>
      </w:r>
      <w:r/>
    </w:p>
    <w:p>
      <w:pPr>
        <w:pStyle w:val="835"/>
        <w:ind w:firstLine="420"/>
        <w:spacing w:line="480" w:lineRule="exact"/>
        <w:rPr>
          <w:rFonts w:ascii="仿宋" w:hAnsi="仿宋" w:eastAsia="仿宋"/>
          <w:sz w:val="28"/>
          <w:szCs w:val="28"/>
        </w:rPr>
      </w:pPr>
      <w:r>
        <w:rPr>
          <w:rFonts w:hint="eastAsia" w:ascii="仿宋" w:hAnsi="仿宋" w:eastAsia="仿宋"/>
          <w:sz w:val="28"/>
          <w:szCs w:val="28"/>
        </w:rPr>
        <w:t xml:space="preserve">根据等级保护测评工作的结果和我局的实际安全需求，我局将对当前安全需求和安全短板进行安全加固建设，保障核心业务系统安全。同时定期检查网络安全工作落实情况，持续做好网络安全防护工作，履行网络安全保护义务。</w:t>
      </w:r>
      <w:r/>
    </w:p>
    <w:p>
      <w:pPr>
        <w:spacing w:before="120" w:after="120"/>
        <w:rPr>
          <w:rFonts w:ascii="宋体" w:hAnsi="宋体"/>
          <w:bCs/>
          <w:sz w:val="22"/>
        </w:rPr>
      </w:pPr>
      <w:r>
        <w:rPr>
          <w:rFonts w:ascii="宋体" w:hAnsi="宋体"/>
          <w:bCs/>
          <w:sz w:val="22"/>
        </w:rPr>
      </w:r>
      <w:r/>
    </w:p>
    <w:p>
      <w:pPr>
        <w:spacing w:before="120" w:after="120"/>
        <w:rPr>
          <w:rFonts w:ascii="宋体" w:hAnsi="宋体"/>
          <w:b/>
          <w:sz w:val="22"/>
        </w:rPr>
      </w:pPr>
      <w:r>
        <w:rPr>
          <w:rFonts w:hint="eastAsia" w:ascii="宋体" w:hAnsi="宋体"/>
          <w:bCs/>
          <w:sz w:val="22"/>
        </w:rPr>
        <w:t xml:space="preserve">一、</w:t>
      </w:r>
      <w:r>
        <w:rPr>
          <w:rFonts w:hint="eastAsia" w:ascii="宋体" w:hAnsi="宋体"/>
          <w:b/>
          <w:sz w:val="22"/>
        </w:rPr>
        <w:t xml:space="preserve">采购</w:t>
      </w:r>
      <w:r>
        <w:rPr>
          <w:rFonts w:ascii="宋体" w:hAnsi="宋体"/>
          <w:b/>
          <w:sz w:val="22"/>
        </w:rPr>
        <w:t xml:space="preserve">清单</w:t>
      </w:r>
      <w:r/>
    </w:p>
    <w:tbl>
      <w:tblPr>
        <w:tblStyle w:val="787"/>
        <w:tblW w:w="8296" w:type="dxa"/>
        <w:tblInd w:w="-113" w:type="dxa"/>
        <w:tblLayout w:type="fixed"/>
        <w:tblLook w:val="04A0" w:firstRow="1" w:lastRow="0" w:firstColumn="1" w:lastColumn="0" w:noHBand="0" w:noVBand="1"/>
      </w:tblPr>
      <w:tblGrid>
        <w:gridCol w:w="738"/>
        <w:gridCol w:w="2092"/>
        <w:gridCol w:w="3402"/>
        <w:gridCol w:w="1134"/>
        <w:gridCol w:w="930"/>
      </w:tblGrid>
      <w:tr>
        <w:trPr>
          <w:cantSplit/>
        </w:trPr>
        <w:tc>
          <w:tcPr>
            <w:tcW w:w="738" w:type="dxa"/>
            <w:vAlign w:val="center"/>
            <w:textDirection w:val="lrTb"/>
            <w:noWrap w:val="false"/>
          </w:tcPr>
          <w:p>
            <w:pPr>
              <w:jc w:val="left"/>
              <w:spacing w:after="120"/>
              <w:rPr>
                <w:rFonts w:asciiTheme="minorEastAsia" w:hAnsiTheme="minorEastAsia" w:eastAsiaTheme="minorEastAsia"/>
                <w:b/>
                <w:sz w:val="22"/>
              </w:rPr>
            </w:pPr>
            <w:r>
              <w:rPr>
                <w:rFonts w:asciiTheme="minorEastAsia" w:hAnsiTheme="minorEastAsia" w:eastAsiaTheme="minorEastAsia"/>
                <w:b/>
                <w:sz w:val="22"/>
              </w:rPr>
              <w:t xml:space="preserve">序号</w:t>
            </w:r>
            <w:r/>
          </w:p>
        </w:tc>
        <w:tc>
          <w:tcPr>
            <w:tcW w:w="2092" w:type="dxa"/>
            <w:vAlign w:val="center"/>
            <w:textDirection w:val="lrTb"/>
            <w:noWrap w:val="false"/>
          </w:tcPr>
          <w:p>
            <w:pPr>
              <w:jc w:val="left"/>
              <w:spacing w:after="120"/>
              <w:rPr>
                <w:rFonts w:asciiTheme="minorEastAsia" w:hAnsiTheme="minorEastAsia" w:eastAsiaTheme="minorEastAsia"/>
                <w:b/>
                <w:sz w:val="22"/>
              </w:rPr>
            </w:pPr>
            <w:r>
              <w:rPr>
                <w:rFonts w:asciiTheme="minorEastAsia" w:hAnsiTheme="minorEastAsia" w:eastAsiaTheme="minorEastAsia"/>
                <w:b/>
                <w:sz w:val="22"/>
              </w:rPr>
              <w:t xml:space="preserve">设备</w:t>
            </w:r>
            <w:r/>
          </w:p>
        </w:tc>
        <w:tc>
          <w:tcPr>
            <w:tcW w:w="3402" w:type="dxa"/>
            <w:vAlign w:val="center"/>
            <w:textDirection w:val="lrTb"/>
            <w:noWrap w:val="false"/>
          </w:tcPr>
          <w:p>
            <w:pPr>
              <w:jc w:val="left"/>
              <w:spacing w:after="120"/>
              <w:rPr>
                <w:rFonts w:asciiTheme="minorEastAsia" w:hAnsiTheme="minorEastAsia" w:eastAsiaTheme="minorEastAsia"/>
                <w:b/>
                <w:sz w:val="22"/>
              </w:rPr>
            </w:pPr>
            <w:r>
              <w:rPr>
                <w:rFonts w:asciiTheme="minorEastAsia" w:hAnsiTheme="minorEastAsia" w:eastAsiaTheme="minorEastAsia"/>
                <w:b/>
                <w:sz w:val="22"/>
              </w:rPr>
              <w:t xml:space="preserve">描述</w:t>
            </w:r>
            <w:r/>
          </w:p>
        </w:tc>
        <w:tc>
          <w:tcPr>
            <w:tcW w:w="1134" w:type="dxa"/>
            <w:vAlign w:val="center"/>
            <w:textDirection w:val="lrTb"/>
            <w:noWrap w:val="false"/>
          </w:tcPr>
          <w:p>
            <w:pPr>
              <w:jc w:val="left"/>
              <w:spacing w:after="120"/>
              <w:rPr>
                <w:rFonts w:asciiTheme="minorEastAsia" w:hAnsiTheme="minorEastAsia" w:eastAsiaTheme="minorEastAsia"/>
                <w:b/>
                <w:sz w:val="22"/>
              </w:rPr>
            </w:pPr>
            <w:r>
              <w:rPr>
                <w:rFonts w:asciiTheme="minorEastAsia" w:hAnsiTheme="minorEastAsia" w:eastAsiaTheme="minorEastAsia"/>
                <w:b/>
                <w:sz w:val="22"/>
              </w:rPr>
              <w:t xml:space="preserve">数量</w:t>
            </w:r>
            <w:r/>
          </w:p>
        </w:tc>
        <w:tc>
          <w:tcPr>
            <w:tcW w:w="930" w:type="dxa"/>
            <w:vAlign w:val="center"/>
            <w:textDirection w:val="lrTb"/>
            <w:noWrap w:val="false"/>
          </w:tcPr>
          <w:p>
            <w:pPr>
              <w:jc w:val="left"/>
              <w:spacing w:after="120"/>
              <w:rPr>
                <w:rFonts w:asciiTheme="minorEastAsia" w:hAnsiTheme="minorEastAsia" w:eastAsiaTheme="minorEastAsia"/>
                <w:b/>
                <w:sz w:val="22"/>
              </w:rPr>
            </w:pPr>
            <w:r>
              <w:rPr>
                <w:rFonts w:asciiTheme="minorEastAsia" w:hAnsiTheme="minorEastAsia" w:eastAsiaTheme="minorEastAsia"/>
                <w:b/>
                <w:sz w:val="22"/>
              </w:rPr>
              <w:t xml:space="preserve">单位</w:t>
            </w:r>
            <w:r/>
          </w:p>
        </w:tc>
      </w:tr>
      <w:tr>
        <w:trPr>
          <w:cantSplit/>
        </w:trPr>
        <w:tc>
          <w:tcPr>
            <w:tcW w:w="738"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1</w:t>
            </w:r>
            <w:r/>
          </w:p>
        </w:tc>
        <w:tc>
          <w:tcPr>
            <w:tcW w:w="2092" w:type="dxa"/>
            <w:vAlign w:val="center"/>
            <w:textDirection w:val="lrTb"/>
            <w:noWrap w:val="false"/>
          </w:tcPr>
          <w:p>
            <w:pPr>
              <w:jc w:val="center"/>
              <w:widowControl/>
              <w:rPr>
                <w:rFonts w:asciiTheme="minorEastAsia" w:hAnsiTheme="minorEastAsia" w:eastAsiaTheme="minorEastAsia"/>
                <w:sz w:val="22"/>
              </w:rPr>
            </w:pPr>
            <w:r>
              <w:rPr>
                <w:rFonts w:hint="eastAsia" w:ascii="宋体" w:hAnsi="宋体" w:cs="宋体"/>
                <w:szCs w:val="21"/>
                <w:lang w:bidi="ar"/>
              </w:rPr>
              <w:t xml:space="preserve">防火墙系统</w:t>
            </w:r>
            <w:r/>
          </w:p>
        </w:tc>
        <w:tc>
          <w:tcPr>
            <w:tcW w:w="3402" w:type="dxa"/>
            <w:vAlign w:val="center"/>
            <w:textDirection w:val="lrTb"/>
            <w:noWrap w:val="false"/>
          </w:tcPr>
          <w:p>
            <w:pPr>
              <w:spacing w:after="120"/>
              <w:rPr>
                <w:rFonts w:asciiTheme="minorEastAsia" w:hAnsiTheme="minorEastAsia" w:eastAsiaTheme="minorEastAsia"/>
                <w:sz w:val="22"/>
              </w:rPr>
            </w:pPr>
            <w:r>
              <w:rPr>
                <w:rFonts w:asciiTheme="minorEastAsia" w:hAnsiTheme="minorEastAsia" w:eastAsiaTheme="minorEastAsia"/>
                <w:bCs/>
                <w:sz w:val="22"/>
              </w:rPr>
              <w:t xml:space="preserve">详见“技术要求与功能参数”</w:t>
            </w:r>
            <w:r/>
          </w:p>
        </w:tc>
        <w:tc>
          <w:tcPr>
            <w:tcW w:w="1134"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1</w:t>
            </w:r>
            <w:r/>
          </w:p>
        </w:tc>
        <w:tc>
          <w:tcPr>
            <w:tcW w:w="930"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台</w:t>
            </w:r>
            <w:r/>
          </w:p>
        </w:tc>
      </w:tr>
      <w:tr>
        <w:trPr>
          <w:cantSplit/>
        </w:trPr>
        <w:tc>
          <w:tcPr>
            <w:tcW w:w="738"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2</w:t>
            </w:r>
            <w:r/>
          </w:p>
        </w:tc>
        <w:tc>
          <w:tcPr>
            <w:tcW w:w="2092" w:type="dxa"/>
            <w:vAlign w:val="center"/>
            <w:textDirection w:val="lrTb"/>
            <w:noWrap w:val="false"/>
          </w:tcPr>
          <w:p>
            <w:pPr>
              <w:jc w:val="center"/>
              <w:widowControl/>
              <w:rPr>
                <w:rFonts w:asciiTheme="minorEastAsia" w:hAnsiTheme="minorEastAsia" w:eastAsiaTheme="minorEastAsia"/>
                <w:sz w:val="22"/>
              </w:rPr>
            </w:pPr>
            <w:r>
              <w:rPr>
                <w:rFonts w:hint="eastAsia" w:ascii="宋体" w:hAnsi="宋体" w:cs="宋体"/>
                <w:szCs w:val="21"/>
                <w:lang w:bidi="ar"/>
              </w:rPr>
              <w:t xml:space="preserve">入侵防御系统</w:t>
            </w:r>
            <w:r/>
          </w:p>
        </w:tc>
        <w:tc>
          <w:tcPr>
            <w:tcW w:w="3402" w:type="dxa"/>
            <w:vAlign w:val="center"/>
            <w:textDirection w:val="lrTb"/>
            <w:noWrap w:val="false"/>
          </w:tcPr>
          <w:p>
            <w:pPr>
              <w:spacing w:after="120"/>
              <w:rPr>
                <w:rFonts w:asciiTheme="minorEastAsia" w:hAnsiTheme="minorEastAsia" w:eastAsiaTheme="minorEastAsia"/>
                <w:bCs/>
                <w:sz w:val="22"/>
              </w:rPr>
            </w:pPr>
            <w:r>
              <w:rPr>
                <w:rFonts w:asciiTheme="minorEastAsia" w:hAnsiTheme="minorEastAsia" w:eastAsiaTheme="minorEastAsia"/>
                <w:bCs/>
                <w:sz w:val="22"/>
              </w:rPr>
              <w:t xml:space="preserve">详见“技术要求与功能参数”</w:t>
            </w:r>
            <w:r/>
          </w:p>
        </w:tc>
        <w:tc>
          <w:tcPr>
            <w:tcW w:w="1134" w:type="dxa"/>
            <w:vAlign w:val="center"/>
            <w:textDirection w:val="lrTb"/>
            <w:noWrap w:val="false"/>
          </w:tcPr>
          <w:p>
            <w:pPr>
              <w:jc w:val="center"/>
              <w:spacing w:after="120"/>
              <w:rPr>
                <w:rFonts w:asciiTheme="minorEastAsia" w:hAnsiTheme="minorEastAsia" w:eastAsiaTheme="minorEastAsia"/>
                <w:sz w:val="22"/>
              </w:rPr>
            </w:pPr>
            <w:r>
              <w:rPr>
                <w:rFonts w:asciiTheme="minorEastAsia" w:hAnsiTheme="minorEastAsia" w:eastAsiaTheme="minorEastAsia"/>
                <w:sz w:val="22"/>
              </w:rPr>
              <w:t xml:space="preserve">1</w:t>
            </w:r>
            <w:r/>
          </w:p>
        </w:tc>
        <w:tc>
          <w:tcPr>
            <w:tcW w:w="930"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套</w:t>
            </w:r>
            <w:r/>
          </w:p>
        </w:tc>
      </w:tr>
      <w:tr>
        <w:trPr>
          <w:cantSplit/>
        </w:trPr>
        <w:tc>
          <w:tcPr>
            <w:tcW w:w="738"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3</w:t>
            </w:r>
            <w:r/>
          </w:p>
        </w:tc>
        <w:tc>
          <w:tcPr>
            <w:tcW w:w="2092" w:type="dxa"/>
            <w:vAlign w:val="center"/>
            <w:textDirection w:val="lrTb"/>
            <w:noWrap w:val="false"/>
          </w:tcPr>
          <w:p>
            <w:pPr>
              <w:jc w:val="center"/>
              <w:widowControl/>
              <w:rPr>
                <w:rFonts w:asciiTheme="minorEastAsia" w:hAnsiTheme="minorEastAsia" w:eastAsiaTheme="minorEastAsia"/>
                <w:sz w:val="22"/>
              </w:rPr>
            </w:pPr>
            <w:r>
              <w:rPr>
                <w:rFonts w:hint="eastAsia" w:ascii="宋体" w:hAnsi="宋体" w:cs="宋体"/>
                <w:szCs w:val="21"/>
                <w:lang w:bidi="ar"/>
              </w:rPr>
              <w:t xml:space="preserve">堡垒机</w:t>
            </w:r>
            <w:r/>
          </w:p>
        </w:tc>
        <w:tc>
          <w:tcPr>
            <w:tcW w:w="3402" w:type="dxa"/>
            <w:vAlign w:val="center"/>
            <w:textDirection w:val="lrTb"/>
            <w:noWrap w:val="false"/>
          </w:tcPr>
          <w:p>
            <w:pPr>
              <w:spacing w:after="120"/>
              <w:rPr>
                <w:rFonts w:asciiTheme="minorEastAsia" w:hAnsiTheme="minorEastAsia" w:eastAsiaTheme="minorEastAsia"/>
                <w:bCs/>
                <w:sz w:val="22"/>
              </w:rPr>
            </w:pPr>
            <w:r>
              <w:rPr>
                <w:rFonts w:asciiTheme="minorEastAsia" w:hAnsiTheme="minorEastAsia" w:eastAsiaTheme="minorEastAsia"/>
                <w:bCs/>
                <w:sz w:val="22"/>
              </w:rPr>
              <w:t xml:space="preserve">详见“技术要求与功能参数”</w:t>
            </w:r>
            <w:r/>
          </w:p>
        </w:tc>
        <w:tc>
          <w:tcPr>
            <w:tcW w:w="1134"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1</w:t>
            </w:r>
            <w:r/>
          </w:p>
        </w:tc>
        <w:tc>
          <w:tcPr>
            <w:tcW w:w="930"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台</w:t>
            </w:r>
            <w:r/>
          </w:p>
        </w:tc>
      </w:tr>
      <w:tr>
        <w:trPr>
          <w:cantSplit/>
        </w:trPr>
        <w:tc>
          <w:tcPr>
            <w:tcW w:w="738"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4</w:t>
            </w:r>
            <w:r/>
          </w:p>
        </w:tc>
        <w:tc>
          <w:tcPr>
            <w:tcW w:w="2092" w:type="dxa"/>
            <w:vAlign w:val="center"/>
            <w:textDirection w:val="lrTb"/>
            <w:noWrap w:val="false"/>
          </w:tcPr>
          <w:p>
            <w:pPr>
              <w:jc w:val="center"/>
              <w:widowControl/>
              <w:rPr>
                <w:rFonts w:asciiTheme="minorEastAsia" w:hAnsiTheme="minorEastAsia" w:eastAsiaTheme="minorEastAsia"/>
                <w:sz w:val="22"/>
              </w:rPr>
            </w:pPr>
            <w:r>
              <w:rPr>
                <w:rFonts w:hint="eastAsia" w:ascii="宋体" w:hAnsi="宋体" w:cs="宋体"/>
                <w:szCs w:val="21"/>
                <w:lang w:bidi="ar"/>
              </w:rPr>
              <w:t xml:space="preserve">日志审计</w:t>
            </w:r>
            <w:r/>
          </w:p>
        </w:tc>
        <w:tc>
          <w:tcPr>
            <w:tcW w:w="3402" w:type="dxa"/>
            <w:vAlign w:val="center"/>
            <w:textDirection w:val="lrTb"/>
            <w:noWrap w:val="false"/>
          </w:tcPr>
          <w:p>
            <w:pPr>
              <w:spacing w:after="120"/>
              <w:rPr>
                <w:rFonts w:asciiTheme="minorEastAsia" w:hAnsiTheme="minorEastAsia" w:eastAsiaTheme="minorEastAsia"/>
                <w:bCs/>
                <w:sz w:val="22"/>
              </w:rPr>
            </w:pPr>
            <w:r>
              <w:rPr>
                <w:rFonts w:asciiTheme="minorEastAsia" w:hAnsiTheme="minorEastAsia" w:eastAsiaTheme="minorEastAsia"/>
                <w:bCs/>
                <w:sz w:val="22"/>
              </w:rPr>
              <w:t xml:space="preserve">详见“技术要求与功能参数”</w:t>
            </w:r>
            <w:r/>
          </w:p>
        </w:tc>
        <w:tc>
          <w:tcPr>
            <w:tcW w:w="1134" w:type="dxa"/>
            <w:vAlign w:val="center"/>
            <w:textDirection w:val="lrTb"/>
            <w:noWrap w:val="false"/>
          </w:tcPr>
          <w:p>
            <w:pPr>
              <w:jc w:val="center"/>
              <w:spacing w:after="120"/>
              <w:rPr>
                <w:rFonts w:asciiTheme="minorEastAsia" w:hAnsiTheme="minorEastAsia" w:eastAsiaTheme="minorEastAsia"/>
                <w:sz w:val="22"/>
              </w:rPr>
            </w:pPr>
            <w:r>
              <w:rPr>
                <w:rFonts w:asciiTheme="minorEastAsia" w:hAnsiTheme="minorEastAsia" w:eastAsiaTheme="minorEastAsia"/>
                <w:sz w:val="22"/>
              </w:rPr>
              <w:t xml:space="preserve">1</w:t>
            </w:r>
            <w:r/>
          </w:p>
        </w:tc>
        <w:tc>
          <w:tcPr>
            <w:tcW w:w="930"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套</w:t>
            </w:r>
            <w:r/>
          </w:p>
        </w:tc>
      </w:tr>
      <w:tr>
        <w:trPr>
          <w:cantSplit/>
        </w:trPr>
        <w:tc>
          <w:tcPr>
            <w:tcW w:w="738"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5</w:t>
            </w:r>
            <w:r/>
          </w:p>
        </w:tc>
        <w:tc>
          <w:tcPr>
            <w:tcW w:w="2092" w:type="dxa"/>
            <w:vAlign w:val="center"/>
            <w:textDirection w:val="lrTb"/>
            <w:noWrap w:val="false"/>
          </w:tcPr>
          <w:p>
            <w:pPr>
              <w:jc w:val="center"/>
              <w:widowControl/>
              <w:rPr>
                <w:rFonts w:asciiTheme="minorEastAsia" w:hAnsiTheme="minorEastAsia" w:eastAsiaTheme="minorEastAsia"/>
                <w:sz w:val="22"/>
              </w:rPr>
            </w:pPr>
            <w:r>
              <w:rPr>
                <w:rFonts w:hint="eastAsia" w:ascii="宋体" w:hAnsi="宋体" w:cs="宋体"/>
                <w:szCs w:val="21"/>
                <w:lang w:bidi="ar"/>
              </w:rPr>
              <w:t xml:space="preserve">VPN</w:t>
            </w:r>
            <w:r/>
          </w:p>
        </w:tc>
        <w:tc>
          <w:tcPr>
            <w:tcW w:w="3402" w:type="dxa"/>
            <w:vAlign w:val="center"/>
            <w:textDirection w:val="lrTb"/>
            <w:noWrap w:val="false"/>
          </w:tcPr>
          <w:p>
            <w:pPr>
              <w:spacing w:after="120"/>
              <w:rPr>
                <w:rFonts w:asciiTheme="minorEastAsia" w:hAnsiTheme="minorEastAsia" w:eastAsiaTheme="minorEastAsia"/>
                <w:bCs/>
                <w:sz w:val="22"/>
              </w:rPr>
            </w:pPr>
            <w:r>
              <w:rPr>
                <w:rFonts w:asciiTheme="minorEastAsia" w:hAnsiTheme="minorEastAsia" w:eastAsiaTheme="minorEastAsia"/>
                <w:bCs/>
                <w:sz w:val="22"/>
              </w:rPr>
              <w:t xml:space="preserve">详见“技术要求与功能参数”</w:t>
            </w:r>
            <w:r/>
          </w:p>
        </w:tc>
        <w:tc>
          <w:tcPr>
            <w:tcW w:w="1134" w:type="dxa"/>
            <w:vAlign w:val="center"/>
            <w:textDirection w:val="lrTb"/>
            <w:noWrap w:val="false"/>
          </w:tcPr>
          <w:p>
            <w:pPr>
              <w:jc w:val="center"/>
              <w:spacing w:after="120"/>
              <w:rPr>
                <w:rFonts w:asciiTheme="minorEastAsia" w:hAnsiTheme="minorEastAsia" w:eastAsiaTheme="minorEastAsia"/>
                <w:sz w:val="22"/>
              </w:rPr>
            </w:pPr>
            <w:r>
              <w:rPr>
                <w:rFonts w:asciiTheme="minorEastAsia" w:hAnsiTheme="minorEastAsia" w:eastAsiaTheme="minorEastAsia"/>
                <w:sz w:val="22"/>
              </w:rPr>
              <w:t xml:space="preserve">1</w:t>
            </w:r>
            <w:r/>
          </w:p>
        </w:tc>
        <w:tc>
          <w:tcPr>
            <w:tcW w:w="930"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套</w:t>
            </w:r>
            <w:r/>
          </w:p>
        </w:tc>
      </w:tr>
      <w:tr>
        <w:trPr>
          <w:cantSplit/>
        </w:trPr>
        <w:tc>
          <w:tcPr>
            <w:tcW w:w="738"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6</w:t>
            </w:r>
            <w:r/>
          </w:p>
        </w:tc>
        <w:tc>
          <w:tcPr>
            <w:tcW w:w="2092" w:type="dxa"/>
            <w:vAlign w:val="center"/>
            <w:textDirection w:val="lrTb"/>
            <w:noWrap w:val="false"/>
          </w:tcPr>
          <w:p>
            <w:pPr>
              <w:jc w:val="center"/>
              <w:widowControl/>
              <w:rPr>
                <w:rFonts w:asciiTheme="minorEastAsia" w:hAnsiTheme="minorEastAsia" w:eastAsiaTheme="minorEastAsia"/>
                <w:sz w:val="22"/>
              </w:rPr>
            </w:pPr>
            <w:r>
              <w:rPr>
                <w:rFonts w:hint="eastAsia" w:ascii="宋体" w:hAnsi="宋体" w:cs="宋体"/>
                <w:szCs w:val="21"/>
                <w:lang w:bidi="ar"/>
              </w:rPr>
              <w:t xml:space="preserve">EDR终端防护杀毒</w:t>
            </w:r>
            <w:r/>
          </w:p>
        </w:tc>
        <w:tc>
          <w:tcPr>
            <w:tcW w:w="3402" w:type="dxa"/>
            <w:vAlign w:val="center"/>
            <w:textDirection w:val="lrTb"/>
            <w:noWrap w:val="false"/>
          </w:tcPr>
          <w:p>
            <w:pPr>
              <w:spacing w:after="120"/>
              <w:rPr>
                <w:rFonts w:asciiTheme="minorEastAsia" w:hAnsiTheme="minorEastAsia" w:eastAsiaTheme="minorEastAsia"/>
                <w:bCs/>
                <w:sz w:val="22"/>
              </w:rPr>
            </w:pPr>
            <w:r>
              <w:rPr>
                <w:rFonts w:asciiTheme="minorEastAsia" w:hAnsiTheme="minorEastAsia" w:eastAsiaTheme="minorEastAsia"/>
                <w:bCs/>
                <w:sz w:val="22"/>
              </w:rPr>
              <w:t xml:space="preserve">详见“技术要求与功能参数”</w:t>
            </w:r>
            <w:r/>
          </w:p>
        </w:tc>
        <w:tc>
          <w:tcPr>
            <w:tcW w:w="1134"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1</w:t>
            </w:r>
            <w:r/>
          </w:p>
        </w:tc>
        <w:tc>
          <w:tcPr>
            <w:tcW w:w="930"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套</w:t>
            </w:r>
            <w:r/>
          </w:p>
        </w:tc>
      </w:tr>
      <w:tr>
        <w:trPr>
          <w:cantSplit/>
        </w:trPr>
        <w:tc>
          <w:tcPr>
            <w:tcW w:w="738"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7</w:t>
            </w:r>
            <w:r/>
          </w:p>
        </w:tc>
        <w:tc>
          <w:tcPr>
            <w:tcW w:w="2092" w:type="dxa"/>
            <w:vAlign w:val="center"/>
            <w:textDirection w:val="lrTb"/>
            <w:noWrap w:val="false"/>
          </w:tcPr>
          <w:p>
            <w:pPr>
              <w:jc w:val="center"/>
              <w:widowControl/>
              <w:rPr>
                <w:rFonts w:asciiTheme="minorEastAsia" w:hAnsiTheme="minorEastAsia" w:eastAsiaTheme="minorEastAsia"/>
                <w:sz w:val="22"/>
              </w:rPr>
            </w:pPr>
            <w:r>
              <w:rPr>
                <w:rFonts w:hint="eastAsia" w:ascii="宋体" w:hAnsi="宋体" w:cs="宋体"/>
                <w:sz w:val="22"/>
                <w:lang w:bidi="ar"/>
              </w:rPr>
              <w:t xml:space="preserve">上网行为管理</w:t>
            </w:r>
            <w:r/>
          </w:p>
        </w:tc>
        <w:tc>
          <w:tcPr>
            <w:shd w:val="clear" w:color="auto" w:fill="auto"/>
            <w:tcW w:w="3402" w:type="dxa"/>
            <w:vAlign w:val="center"/>
            <w:textDirection w:val="lrTb"/>
            <w:noWrap w:val="false"/>
          </w:tcPr>
          <w:p>
            <w:pPr>
              <w:spacing w:after="120"/>
              <w:rPr>
                <w:rFonts w:asciiTheme="minorEastAsia" w:hAnsiTheme="minorEastAsia" w:eastAsiaTheme="minorEastAsia"/>
                <w:bCs/>
                <w:sz w:val="22"/>
              </w:rPr>
            </w:pPr>
            <w:r>
              <w:rPr>
                <w:rFonts w:asciiTheme="minorEastAsia" w:hAnsiTheme="minorEastAsia" w:eastAsiaTheme="minorEastAsia"/>
                <w:bCs/>
                <w:sz w:val="22"/>
              </w:rPr>
              <w:t xml:space="preserve">详见“技术要求与功能参数”</w:t>
            </w:r>
            <w:r/>
          </w:p>
        </w:tc>
        <w:tc>
          <w:tcPr>
            <w:shd w:val="clear" w:color="auto" w:fill="auto"/>
            <w:tcW w:w="1134"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2</w:t>
            </w:r>
            <w:r/>
          </w:p>
        </w:tc>
        <w:tc>
          <w:tcPr>
            <w:shd w:val="clear" w:color="auto" w:fill="auto"/>
            <w:tcW w:w="930"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套</w:t>
            </w:r>
            <w:r/>
          </w:p>
        </w:tc>
      </w:tr>
      <w:tr>
        <w:trPr>
          <w:cantSplit/>
        </w:trPr>
        <w:tc>
          <w:tcPr>
            <w:tcW w:w="738"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8</w:t>
            </w:r>
            <w:r/>
          </w:p>
        </w:tc>
        <w:tc>
          <w:tcPr>
            <w:tcW w:w="2092" w:type="dxa"/>
            <w:vAlign w:val="center"/>
            <w:textDirection w:val="lrTb"/>
            <w:noWrap w:val="false"/>
          </w:tcPr>
          <w:p>
            <w:pPr>
              <w:jc w:val="center"/>
              <w:widowControl/>
              <w:rPr>
                <w:rFonts w:asciiTheme="minorEastAsia" w:hAnsiTheme="minorEastAsia" w:eastAsiaTheme="minorEastAsia"/>
                <w:sz w:val="22"/>
              </w:rPr>
            </w:pPr>
            <w:r>
              <w:rPr>
                <w:rFonts w:hint="eastAsia" w:ascii="宋体" w:hAnsi="宋体" w:cs="宋体"/>
                <w:sz w:val="22"/>
                <w:lang w:bidi="ar"/>
              </w:rPr>
              <w:t xml:space="preserve">入侵检测</w:t>
            </w:r>
            <w:r/>
          </w:p>
        </w:tc>
        <w:tc>
          <w:tcPr>
            <w:shd w:val="clear" w:color="auto" w:fill="auto"/>
            <w:tcW w:w="3402" w:type="dxa"/>
            <w:vAlign w:val="center"/>
            <w:textDirection w:val="lrTb"/>
            <w:noWrap w:val="false"/>
          </w:tcPr>
          <w:p>
            <w:pPr>
              <w:spacing w:after="120"/>
              <w:rPr>
                <w:rFonts w:asciiTheme="minorEastAsia" w:hAnsiTheme="minorEastAsia" w:eastAsiaTheme="minorEastAsia"/>
                <w:bCs/>
                <w:sz w:val="22"/>
              </w:rPr>
            </w:pPr>
            <w:r>
              <w:rPr>
                <w:rFonts w:asciiTheme="minorEastAsia" w:hAnsiTheme="minorEastAsia" w:eastAsiaTheme="minorEastAsia"/>
                <w:bCs/>
                <w:sz w:val="22"/>
              </w:rPr>
              <w:t xml:space="preserve">详见“技术要求与功能参数”</w:t>
            </w:r>
            <w:r/>
          </w:p>
        </w:tc>
        <w:tc>
          <w:tcPr>
            <w:shd w:val="clear" w:color="auto" w:fill="auto"/>
            <w:tcW w:w="1134"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1</w:t>
            </w:r>
            <w:r/>
          </w:p>
        </w:tc>
        <w:tc>
          <w:tcPr>
            <w:shd w:val="clear" w:color="auto" w:fill="auto"/>
            <w:tcW w:w="930"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套</w:t>
            </w:r>
            <w:r/>
          </w:p>
        </w:tc>
      </w:tr>
      <w:tr>
        <w:trPr>
          <w:cantSplit/>
        </w:trPr>
        <w:tc>
          <w:tcPr>
            <w:tcW w:w="738"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9</w:t>
            </w:r>
            <w:r/>
          </w:p>
        </w:tc>
        <w:tc>
          <w:tcPr>
            <w:tcW w:w="2092" w:type="dxa"/>
            <w:vAlign w:val="center"/>
            <w:textDirection w:val="lrTb"/>
            <w:noWrap w:val="false"/>
          </w:tcPr>
          <w:p>
            <w:pPr>
              <w:jc w:val="center"/>
              <w:widowControl/>
              <w:rPr>
                <w:rFonts w:asciiTheme="minorEastAsia" w:hAnsiTheme="minorEastAsia" w:eastAsiaTheme="minorEastAsia"/>
                <w:sz w:val="22"/>
              </w:rPr>
            </w:pPr>
            <w:r>
              <w:rPr>
                <w:rFonts w:hint="eastAsia" w:ascii="宋体" w:hAnsi="宋体" w:cs="宋体"/>
                <w:sz w:val="22"/>
                <w:lang w:bidi="ar"/>
              </w:rPr>
              <w:t xml:space="preserve">测评整改服务</w:t>
            </w:r>
            <w:r/>
          </w:p>
        </w:tc>
        <w:tc>
          <w:tcPr>
            <w:shd w:val="clear" w:color="auto" w:fill="auto"/>
            <w:tcW w:w="3402" w:type="dxa"/>
            <w:vAlign w:val="center"/>
            <w:textDirection w:val="lrTb"/>
            <w:noWrap w:val="false"/>
          </w:tcPr>
          <w:p>
            <w:pPr>
              <w:spacing w:after="120"/>
              <w:rPr>
                <w:rFonts w:asciiTheme="minorEastAsia" w:hAnsiTheme="minorEastAsia" w:eastAsiaTheme="minorEastAsia"/>
                <w:bCs/>
                <w:sz w:val="22"/>
              </w:rPr>
            </w:pPr>
            <w:r>
              <w:rPr>
                <w:rFonts w:asciiTheme="minorEastAsia" w:hAnsiTheme="minorEastAsia" w:eastAsiaTheme="minorEastAsia"/>
                <w:bCs/>
                <w:sz w:val="22"/>
              </w:rPr>
              <w:t xml:space="preserve">详见“技术要求与功能参数”</w:t>
            </w:r>
            <w:r/>
          </w:p>
        </w:tc>
        <w:tc>
          <w:tcPr>
            <w:shd w:val="clear" w:color="auto" w:fill="auto"/>
            <w:tcW w:w="1134"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1</w:t>
            </w:r>
            <w:r/>
          </w:p>
        </w:tc>
        <w:tc>
          <w:tcPr>
            <w:shd w:val="clear" w:color="auto" w:fill="auto"/>
            <w:tcW w:w="930"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套</w:t>
            </w:r>
            <w:r/>
          </w:p>
        </w:tc>
      </w:tr>
      <w:tr>
        <w:trPr>
          <w:cantSplit/>
        </w:trPr>
        <w:tc>
          <w:tcPr>
            <w:tcW w:w="738"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10</w:t>
            </w:r>
            <w:r/>
          </w:p>
        </w:tc>
        <w:tc>
          <w:tcPr>
            <w:tcW w:w="2092" w:type="dxa"/>
            <w:vAlign w:val="center"/>
            <w:textDirection w:val="lrTb"/>
            <w:noWrap w:val="false"/>
          </w:tcPr>
          <w:p>
            <w:pPr>
              <w:jc w:val="center"/>
              <w:widowControl/>
              <w:rPr>
                <w:rFonts w:asciiTheme="minorEastAsia" w:hAnsiTheme="minorEastAsia" w:eastAsiaTheme="minorEastAsia"/>
                <w:sz w:val="22"/>
              </w:rPr>
            </w:pPr>
            <w:r>
              <w:rPr>
                <w:rFonts w:hint="eastAsia" w:ascii="宋体" w:hAnsi="宋体" w:cs="宋体"/>
                <w:sz w:val="22"/>
                <w:lang w:bidi="ar"/>
              </w:rPr>
              <w:t xml:space="preserve">安全服务</w:t>
            </w:r>
            <w:r/>
          </w:p>
        </w:tc>
        <w:tc>
          <w:tcPr>
            <w:shd w:val="clear" w:color="auto" w:fill="auto"/>
            <w:tcW w:w="3402" w:type="dxa"/>
            <w:vAlign w:val="center"/>
            <w:textDirection w:val="lrTb"/>
            <w:noWrap w:val="false"/>
          </w:tcPr>
          <w:p>
            <w:pPr>
              <w:spacing w:after="120"/>
              <w:rPr>
                <w:rFonts w:asciiTheme="minorEastAsia" w:hAnsiTheme="minorEastAsia" w:eastAsiaTheme="minorEastAsia"/>
                <w:bCs/>
                <w:sz w:val="22"/>
              </w:rPr>
            </w:pPr>
            <w:r>
              <w:rPr>
                <w:rFonts w:asciiTheme="minorEastAsia" w:hAnsiTheme="minorEastAsia" w:eastAsiaTheme="minorEastAsia"/>
                <w:bCs/>
                <w:sz w:val="22"/>
              </w:rPr>
              <w:t xml:space="preserve">详见“技术要求与功能参数”</w:t>
            </w:r>
            <w:r/>
          </w:p>
        </w:tc>
        <w:tc>
          <w:tcPr>
            <w:shd w:val="clear" w:color="auto" w:fill="auto"/>
            <w:tcW w:w="1134"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1</w:t>
            </w:r>
            <w:r/>
          </w:p>
        </w:tc>
        <w:tc>
          <w:tcPr>
            <w:shd w:val="clear" w:color="auto" w:fill="auto"/>
            <w:tcW w:w="930" w:type="dxa"/>
            <w:vAlign w:val="center"/>
            <w:textDirection w:val="lrTb"/>
            <w:noWrap w:val="false"/>
          </w:tcPr>
          <w:p>
            <w:pPr>
              <w:jc w:val="center"/>
              <w:spacing w:after="120"/>
              <w:rPr>
                <w:rFonts w:asciiTheme="minorEastAsia" w:hAnsiTheme="minorEastAsia" w:eastAsiaTheme="minorEastAsia"/>
                <w:sz w:val="22"/>
              </w:rPr>
            </w:pPr>
            <w:r>
              <w:rPr>
                <w:rFonts w:hint="eastAsia" w:asciiTheme="minorEastAsia" w:hAnsiTheme="minorEastAsia" w:eastAsiaTheme="minorEastAsia"/>
                <w:sz w:val="22"/>
              </w:rPr>
              <w:t xml:space="preserve">套</w:t>
            </w:r>
            <w:r/>
          </w:p>
        </w:tc>
      </w:tr>
    </w:tbl>
    <w:p>
      <w:pPr>
        <w:rPr>
          <w:rFonts w:ascii="微软雅黑" w:hAnsi="微软雅黑" w:eastAsia="微软雅黑"/>
          <w:b/>
          <w:sz w:val="22"/>
          <w:highlight w:val="yellow"/>
        </w:rPr>
      </w:pPr>
      <w:r>
        <w:rPr>
          <w:rFonts w:ascii="微软雅黑" w:hAnsi="微软雅黑" w:eastAsia="微软雅黑"/>
          <w:b/>
          <w:sz w:val="22"/>
          <w:highlight w:val="yellow"/>
        </w:rPr>
      </w:r>
      <w:r/>
    </w:p>
    <w:p>
      <w:pPr>
        <w:spacing w:before="120" w:after="120"/>
        <w:rPr>
          <w:rFonts w:ascii="微软雅黑" w:hAnsi="微软雅黑" w:eastAsia="微软雅黑"/>
          <w:b/>
          <w:sz w:val="20"/>
          <w:szCs w:val="20"/>
        </w:rPr>
      </w:pPr>
      <w:r>
        <w:rPr>
          <w:rFonts w:ascii="微软雅黑" w:hAnsi="微软雅黑" w:eastAsia="微软雅黑"/>
          <w:b/>
          <w:sz w:val="22"/>
        </w:rPr>
        <w:t xml:space="preserve">二、技术要求与功能参数</w:t>
      </w:r>
      <w:r/>
    </w:p>
    <w:p>
      <w:pPr>
        <w:spacing w:line="480" w:lineRule="auto"/>
        <w:tabs>
          <w:tab w:val="left" w:pos="1710" w:leader="none"/>
        </w:tabs>
        <w:rPr>
          <w:rFonts w:ascii="宋体" w:hAnsi="宋体"/>
          <w:b/>
          <w:bCs/>
          <w:sz w:val="20"/>
          <w:szCs w:val="20"/>
        </w:rPr>
      </w:pPr>
      <w:r>
        <w:rPr>
          <w:rFonts w:hint="eastAsia" w:ascii="宋体" w:hAnsi="宋体"/>
          <w:b/>
          <w:bCs/>
          <w:sz w:val="20"/>
          <w:szCs w:val="20"/>
        </w:rPr>
        <w:t xml:space="preserve">1）</w:t>
      </w:r>
      <w:r>
        <w:rPr>
          <w:rFonts w:hint="eastAsia" w:ascii="微软雅黑" w:hAnsi="微软雅黑" w:eastAsia="微软雅黑"/>
          <w:sz w:val="20"/>
          <w:szCs w:val="20"/>
        </w:rPr>
        <w:t xml:space="preserve">防火墙系统</w:t>
      </w:r>
      <w:r/>
    </w:p>
    <w:tbl>
      <w:tblPr>
        <w:tblW w:w="935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5"/>
        <w:gridCol w:w="8011"/>
      </w:tblGrid>
      <w:tr>
        <w:trPr>
          <w:cantSplit/>
          <w:trHeight w:val="20"/>
        </w:trPr>
        <w:tc>
          <w:tcPr>
            <w:tcW w:w="1345" w:type="dxa"/>
            <w:vAlign w:val="center"/>
            <w:textDirection w:val="lrTb"/>
            <w:noWrap w:val="false"/>
          </w:tcPr>
          <w:p>
            <w:pPr>
              <w:jc w:val="center"/>
              <w:rPr>
                <w:rFonts w:ascii="宋体" w:hAnsi="宋体" w:cs="宋体"/>
                <w:b/>
                <w:sz w:val="20"/>
                <w:szCs w:val="20"/>
              </w:rPr>
            </w:pPr>
            <w:r>
              <w:rPr>
                <w:rFonts w:hint="eastAsia" w:ascii="宋体" w:hAnsi="宋体" w:cs="宋体"/>
                <w:b/>
                <w:sz w:val="20"/>
                <w:szCs w:val="20"/>
              </w:rPr>
              <w:t xml:space="preserve">指标项</w:t>
            </w:r>
            <w:r/>
          </w:p>
        </w:tc>
        <w:tc>
          <w:tcPr>
            <w:tcW w:w="8011" w:type="dxa"/>
            <w:vAlign w:val="center"/>
            <w:textDirection w:val="lrTb"/>
            <w:noWrap w:val="false"/>
          </w:tcPr>
          <w:p>
            <w:pPr>
              <w:jc w:val="center"/>
              <w:rPr>
                <w:rFonts w:ascii="宋体" w:hAnsi="宋体" w:cs="宋体"/>
                <w:b/>
                <w:sz w:val="20"/>
                <w:szCs w:val="20"/>
              </w:rPr>
            </w:pPr>
            <w:r>
              <w:rPr>
                <w:rFonts w:hint="eastAsia" w:ascii="宋体" w:hAnsi="宋体" w:cs="宋体"/>
                <w:b/>
                <w:sz w:val="20"/>
                <w:szCs w:val="20"/>
              </w:rPr>
              <w:t xml:space="preserve">描述</w:t>
            </w:r>
            <w:r/>
          </w:p>
        </w:tc>
      </w:tr>
      <w:tr>
        <w:trPr>
          <w:cantSplit/>
          <w:trHeight w:val="20"/>
        </w:trPr>
        <w:tc>
          <w:tcPr>
            <w:tcW w:w="1345" w:type="dxa"/>
            <w:vAlign w:val="center"/>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网络接口</w:t>
            </w:r>
            <w:r/>
          </w:p>
        </w:tc>
        <w:tc>
          <w:tcPr>
            <w:tcW w:w="8011" w:type="dxa"/>
            <w:vAlign w:val="center"/>
            <w:textDirection w:val="lrTb"/>
            <w:noWrap w:val="false"/>
          </w:tcPr>
          <w:p>
            <w:pPr>
              <w:jc w:val="left"/>
              <w:widowControl/>
              <w:rPr>
                <w:rFonts w:ascii="宋体" w:hAnsi="宋体" w:cs="宋体" w:eastAsiaTheme="minorEastAsia"/>
                <w:sz w:val="20"/>
                <w:szCs w:val="20"/>
              </w:rPr>
            </w:pPr>
            <w:r>
              <w:rPr>
                <w:rFonts w:hint="eastAsia" w:ascii="宋体" w:hAnsi="宋体" w:cs="宋体"/>
                <w:sz w:val="20"/>
                <w:szCs w:val="20"/>
              </w:rPr>
              <w:t xml:space="preserve">▲2U标准机架式设备，国产化软硬件平台，设备配置≥7个千兆自</w:t>
            </w:r>
            <w:r>
              <w:rPr>
                <w:rFonts w:hint="eastAsia" w:ascii="宋体" w:hAnsi="宋体" w:cs="宋体"/>
                <w:sz w:val="20"/>
                <w:szCs w:val="20"/>
              </w:rPr>
              <w:t xml:space="preserve">适应电口</w:t>
            </w:r>
            <w:r>
              <w:rPr>
                <w:rFonts w:hint="eastAsia" w:ascii="宋体" w:hAnsi="宋体" w:cs="宋体"/>
                <w:sz w:val="20"/>
                <w:szCs w:val="20"/>
              </w:rPr>
              <w:t xml:space="preserve">,≥4个千兆SFP</w:t>
            </w:r>
            <w:r>
              <w:rPr>
                <w:rFonts w:hint="eastAsia" w:ascii="宋体" w:hAnsi="宋体" w:cs="宋体"/>
                <w:sz w:val="20"/>
                <w:szCs w:val="20"/>
              </w:rPr>
              <w:t xml:space="preserve">光口插槽</w:t>
            </w:r>
            <w:r>
              <w:rPr>
                <w:rFonts w:hint="eastAsia" w:ascii="宋体" w:hAnsi="宋体" w:cs="宋体"/>
                <w:sz w:val="20"/>
                <w:szCs w:val="20"/>
              </w:rPr>
              <w:t xml:space="preserve">，满足上述接口后剩余可用接口扩展槽位不少于3个，配置200个SSL VPN用户数授权；此次提供三年软硬件质保；</w:t>
            </w:r>
            <w:r/>
          </w:p>
        </w:tc>
      </w:tr>
      <w:tr>
        <w:trPr>
          <w:cantSplit/>
          <w:trHeight w:val="20"/>
        </w:trPr>
        <w:tc>
          <w:tcPr>
            <w:tcW w:w="1345" w:type="dxa"/>
            <w:vAlign w:val="center"/>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性能</w:t>
            </w:r>
            <w:r/>
          </w:p>
        </w:tc>
        <w:tc>
          <w:tcPr>
            <w:tcW w:w="8011" w:type="dxa"/>
            <w:vAlign w:val="center"/>
            <w:textDirection w:val="lrTb"/>
            <w:noWrap w:val="false"/>
          </w:tcPr>
          <w:p>
            <w:pPr>
              <w:jc w:val="left"/>
              <w:widowControl/>
              <w:rPr>
                <w:rFonts w:ascii="宋体" w:hAnsi="宋体" w:cs="宋体" w:eastAsiaTheme="minorEastAsia"/>
                <w:sz w:val="20"/>
                <w:szCs w:val="20"/>
              </w:rPr>
            </w:pPr>
            <w:r>
              <w:rPr>
                <w:rFonts w:hint="eastAsia" w:ascii="宋体" w:hAnsi="宋体" w:cs="宋体"/>
                <w:sz w:val="20"/>
                <w:szCs w:val="20"/>
              </w:rPr>
              <w:t xml:space="preserve">网络吞吐量不小于15Gbps，并发连接数不小于8</w:t>
            </w:r>
            <w:r>
              <w:rPr>
                <w:rFonts w:ascii="宋体" w:hAnsi="宋体" w:cs="宋体"/>
                <w:sz w:val="20"/>
                <w:szCs w:val="20"/>
              </w:rPr>
              <w:t xml:space="preserve">00</w:t>
            </w:r>
            <w:r>
              <w:rPr>
                <w:rFonts w:hint="eastAsia" w:ascii="宋体" w:hAnsi="宋体" w:cs="宋体"/>
                <w:sz w:val="20"/>
                <w:szCs w:val="20"/>
              </w:rPr>
              <w:t xml:space="preserve">万；</w:t>
            </w:r>
            <w:r/>
          </w:p>
        </w:tc>
      </w:tr>
      <w:tr>
        <w:trPr>
          <w:cantSplit/>
          <w:trHeight w:val="20"/>
        </w:trPr>
        <w:tc>
          <w:tcPr>
            <w:tcW w:w="1345" w:type="dxa"/>
            <w:vAlign w:val="center"/>
            <w:vMerge w:val="restart"/>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网络适应性</w:t>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支持静态路由，动态路由（OSPF、RIP、BGP、ISIS等），VLAN间路由，单臂路由，组播路由等。</w:t>
            </w:r>
            <w:r/>
          </w:p>
        </w:tc>
      </w:tr>
      <w:tr>
        <w:trPr>
          <w:cantSplit/>
          <w:trHeight w:val="20"/>
        </w:trPr>
        <w:tc>
          <w:tcPr>
            <w:tcW w:w="134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支持HTTP2网关部署，在不改变web服务器的情况下将对外服务协议从HTTP1.1/1.0升级至HTTP/2。</w:t>
            </w:r>
            <w:r/>
          </w:p>
        </w:tc>
      </w:tr>
      <w:tr>
        <w:trPr>
          <w:cantSplit/>
          <w:trHeight w:val="20"/>
        </w:trPr>
        <w:tc>
          <w:tcPr>
            <w:tcW w:w="1345" w:type="dxa"/>
            <w:vAlign w:val="center"/>
            <w:vMerge w:val="restart"/>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网络管理</w:t>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产品支持透明传输、路由转发模式部署，支持路由设置、高可用性等组网与部署能力；提供应用类型控制、应用关键内容控制等应用层控制功能；</w:t>
            </w:r>
            <w:r/>
          </w:p>
        </w:tc>
      </w:tr>
      <w:tr>
        <w:trPr>
          <w:cantSplit/>
          <w:trHeight w:val="20"/>
        </w:trPr>
        <w:tc>
          <w:tcPr>
            <w:tcW w:w="134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提供包过滤、地址转换、状态检测、动态开放端口、带宽管理、连接数控制等网络层访问控制功能；</w:t>
            </w:r>
            <w:r/>
          </w:p>
        </w:tc>
      </w:tr>
      <w:tr>
        <w:trPr>
          <w:cantSplit/>
          <w:trHeight w:val="20"/>
        </w:trPr>
        <w:tc>
          <w:tcPr>
            <w:tcW w:w="1345" w:type="dxa"/>
            <w:vAlign w:val="center"/>
            <w:vMerge w:val="restart"/>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资产分析</w:t>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b/>
                <w:sz w:val="20"/>
                <w:szCs w:val="20"/>
              </w:rPr>
              <w:t xml:space="preserve">▲</w:t>
            </w:r>
            <w:r>
              <w:rPr>
                <w:rFonts w:hint="eastAsia"/>
                <w:sz w:val="20"/>
                <w:szCs w:val="20"/>
              </w:rPr>
              <w:t xml:space="preserve">支持资产关联分析，可对任意资产地址进行回溯关联，通过点状图可视化呈现资产连接情况，快速判断访问路径</w:t>
            </w:r>
            <w:r>
              <w:rPr>
                <w:rFonts w:hint="eastAsia" w:cstheme="minorHAnsi"/>
                <w:sz w:val="20"/>
                <w:szCs w:val="20"/>
              </w:rPr>
              <w:t xml:space="preserve">（</w:t>
            </w:r>
            <w:r>
              <w:rPr>
                <w:rFonts w:hint="eastAsia" w:cstheme="minorHAnsi"/>
                <w:b/>
                <w:bCs/>
                <w:sz w:val="20"/>
                <w:szCs w:val="20"/>
              </w:rPr>
              <w:t xml:space="preserve">提供产品证明截图）</w:t>
            </w:r>
            <w:r/>
          </w:p>
        </w:tc>
      </w:tr>
      <w:tr>
        <w:trPr>
          <w:cantSplit/>
          <w:trHeight w:val="20"/>
        </w:trPr>
        <w:tc>
          <w:tcPr>
            <w:tcW w:w="1345" w:type="dxa"/>
            <w:vAlign w:val="center"/>
            <w:vMerge w:val="continue"/>
            <w:textDirection w:val="lrTb"/>
            <w:noWrap w:val="false"/>
          </w:tcPr>
          <w:p>
            <w:pPr>
              <w:jc w:val="left"/>
              <w:widowControl/>
              <w:rPr>
                <w:sz w:val="20"/>
                <w:szCs w:val="20"/>
              </w:rPr>
            </w:pPr>
            <w:r>
              <w:rPr>
                <w:sz w:val="20"/>
                <w:szCs w:val="20"/>
              </w:rPr>
            </w:r>
            <w:r/>
          </w:p>
        </w:tc>
        <w:tc>
          <w:tcPr>
            <w:tcW w:w="8011" w:type="dxa"/>
            <w:vAlign w:val="center"/>
            <w:textDirection w:val="lrTb"/>
            <w:noWrap w:val="false"/>
          </w:tcPr>
          <w:p>
            <w:pPr>
              <w:jc w:val="left"/>
              <w:widowControl/>
              <w:rPr>
                <w:rFonts w:cstheme="minorHAnsi"/>
                <w:sz w:val="20"/>
                <w:szCs w:val="20"/>
              </w:rPr>
            </w:pPr>
            <w:r>
              <w:rPr>
                <w:rFonts w:hint="eastAsia" w:ascii="宋体" w:hAnsi="宋体"/>
                <w:b/>
                <w:sz w:val="20"/>
                <w:szCs w:val="20"/>
              </w:rPr>
              <w:t xml:space="preserve">▲</w:t>
            </w:r>
            <w:r>
              <w:rPr>
                <w:rFonts w:cstheme="minorHAnsi"/>
                <w:sz w:val="20"/>
                <w:szCs w:val="20"/>
              </w:rPr>
              <w:t xml:space="preserve">支持资产风险信息关联功能，可关联对应资产涉及威胁情报告警信息、</w:t>
            </w:r>
            <w:r>
              <w:rPr>
                <w:rFonts w:cstheme="minorHAnsi"/>
                <w:sz w:val="20"/>
                <w:szCs w:val="20"/>
              </w:rPr>
              <w:t xml:space="preserve">webshell</w:t>
            </w:r>
            <w:r>
              <w:rPr>
                <w:rFonts w:cstheme="minorHAnsi"/>
                <w:sz w:val="20"/>
                <w:szCs w:val="20"/>
              </w:rPr>
              <w:t xml:space="preserve">告警信息、</w:t>
            </w:r>
            <w:r>
              <w:rPr>
                <w:rFonts w:cstheme="minorHAnsi"/>
                <w:sz w:val="20"/>
                <w:szCs w:val="20"/>
              </w:rPr>
              <w:t xml:space="preserve">HTTP</w:t>
            </w:r>
            <w:r>
              <w:rPr>
                <w:rFonts w:cstheme="minorHAnsi"/>
                <w:sz w:val="20"/>
                <w:szCs w:val="20"/>
              </w:rPr>
              <w:t xml:space="preserve">隧道告警信息、</w:t>
            </w:r>
            <w:r>
              <w:rPr>
                <w:rFonts w:cstheme="minorHAnsi"/>
                <w:sz w:val="20"/>
                <w:szCs w:val="20"/>
              </w:rPr>
              <w:t xml:space="preserve">HTTPS</w:t>
            </w:r>
            <w:r>
              <w:rPr>
                <w:rFonts w:cstheme="minorHAnsi"/>
                <w:sz w:val="20"/>
                <w:szCs w:val="20"/>
              </w:rPr>
              <w:t xml:space="preserve">隧道告警信息、行为监测告警信息等</w:t>
            </w:r>
            <w:r>
              <w:rPr>
                <w:rFonts w:hint="eastAsia" w:cstheme="minorHAnsi"/>
                <w:b/>
                <w:bCs/>
                <w:sz w:val="20"/>
                <w:szCs w:val="20"/>
              </w:rPr>
              <w:t xml:space="preserve">（提供产品证明截图）</w:t>
            </w:r>
            <w:r/>
          </w:p>
        </w:tc>
      </w:tr>
      <w:tr>
        <w:trPr>
          <w:cantSplit/>
          <w:trHeight w:val="20"/>
        </w:trPr>
        <w:tc>
          <w:tcPr>
            <w:tcW w:w="1345" w:type="dxa"/>
            <w:vAlign w:val="center"/>
            <w:vMerge w:val="restart"/>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网络访问控制</w:t>
            </w:r>
            <w:r/>
          </w:p>
        </w:tc>
        <w:tc>
          <w:tcPr>
            <w:tcW w:w="8011" w:type="dxa"/>
            <w:vAlign w:val="center"/>
            <w:textDirection w:val="lrTb"/>
            <w:noWrap w:val="false"/>
          </w:tcPr>
          <w:p>
            <w:pPr>
              <w:jc w:val="left"/>
              <w:widowControl/>
              <w:rPr>
                <w:rFonts w:ascii="宋体" w:hAnsi="宋体" w:cs="宋体" w:eastAsiaTheme="minorEastAsia"/>
                <w:sz w:val="20"/>
                <w:szCs w:val="20"/>
              </w:rPr>
            </w:pPr>
            <w:r>
              <w:rPr>
                <w:rFonts w:hint="eastAsia" w:ascii="宋体" w:hAnsi="宋体" w:cs="宋体"/>
                <w:sz w:val="20"/>
                <w:szCs w:val="20"/>
              </w:rPr>
              <w:t xml:space="preserve">支持通过一条策略实现用户认证、IPS、AV、URL过滤、协议控制、流量控制、并发、新建限制、垃圾邮件过滤、审计等功能,简化用户管理。</w:t>
            </w:r>
            <w:r/>
          </w:p>
        </w:tc>
      </w:tr>
      <w:tr>
        <w:trPr>
          <w:cantSplit/>
          <w:trHeight w:val="20"/>
        </w:trPr>
        <w:tc>
          <w:tcPr>
            <w:tcW w:w="134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tcW w:w="8011" w:type="dxa"/>
            <w:vAlign w:val="center"/>
            <w:textDirection w:val="lrTb"/>
            <w:noWrap w:val="false"/>
          </w:tcPr>
          <w:p>
            <w:pPr>
              <w:jc w:val="left"/>
              <w:widowControl/>
              <w:rPr>
                <w:rFonts w:ascii="宋体" w:hAnsi="宋体" w:cs="宋体" w:eastAsiaTheme="minorEastAsia"/>
                <w:sz w:val="20"/>
                <w:szCs w:val="20"/>
              </w:rPr>
            </w:pPr>
            <w:r>
              <w:rPr>
                <w:rFonts w:hint="eastAsia" w:ascii="宋体" w:hAnsi="宋体" w:cs="宋体"/>
                <w:sz w:val="20"/>
                <w:szCs w:val="20"/>
              </w:rPr>
              <w:t xml:space="preserve">支持同一个地址对象中可以包含IP、IP段、IP range、排除地址等多种类型。</w:t>
            </w:r>
            <w:r/>
          </w:p>
        </w:tc>
      </w:tr>
      <w:tr>
        <w:trPr>
          <w:cantSplit/>
          <w:trHeight w:val="20"/>
        </w:trPr>
        <w:tc>
          <w:tcPr>
            <w:tcW w:w="134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tcW w:w="8011" w:type="dxa"/>
            <w:vAlign w:val="center"/>
            <w:textDirection w:val="lrTb"/>
            <w:noWrap w:val="false"/>
          </w:tcPr>
          <w:p>
            <w:pPr>
              <w:jc w:val="left"/>
              <w:widowControl/>
              <w:rPr>
                <w:rFonts w:ascii="宋体" w:hAnsi="宋体" w:cs="宋体" w:eastAsiaTheme="minorEastAsia"/>
                <w:sz w:val="20"/>
                <w:szCs w:val="20"/>
              </w:rPr>
            </w:pPr>
            <w:r>
              <w:rPr>
                <w:rFonts w:hint="eastAsia" w:ascii="宋体" w:hAnsi="宋体" w:cs="宋体"/>
                <w:sz w:val="20"/>
                <w:szCs w:val="20"/>
              </w:rPr>
              <w:t xml:space="preserve">提供拒绝服务攻击防护、恶意代码防护、应用攻击防护等功能，可扩展网络病毒防护、入侵防护功能。</w:t>
            </w:r>
            <w:r/>
          </w:p>
        </w:tc>
      </w:tr>
      <w:tr>
        <w:trPr>
          <w:cantSplit/>
          <w:trHeight w:val="20"/>
        </w:trPr>
        <w:tc>
          <w:tcPr>
            <w:tcW w:w="1345" w:type="dxa"/>
            <w:vAlign w:val="center"/>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报文过滤</w:t>
            </w:r>
            <w:r/>
          </w:p>
        </w:tc>
        <w:tc>
          <w:tcPr>
            <w:tcW w:w="8011" w:type="dxa"/>
            <w:vAlign w:val="center"/>
            <w:textDirection w:val="lrTb"/>
            <w:noWrap w:val="false"/>
          </w:tcPr>
          <w:p>
            <w:pPr>
              <w:pStyle w:val="834"/>
              <w:ind w:left="0"/>
              <w:rPr>
                <w:rFonts w:cstheme="minorHAnsi"/>
                <w:sz w:val="20"/>
                <w:szCs w:val="20"/>
              </w:rPr>
            </w:pPr>
            <w:r>
              <w:rPr>
                <w:rFonts w:hint="eastAsia" w:ascii="宋体" w:hAnsi="宋体"/>
                <w:b/>
                <w:sz w:val="20"/>
                <w:szCs w:val="20"/>
              </w:rPr>
              <w:t xml:space="preserve">▲</w:t>
            </w:r>
            <w:r>
              <w:rPr>
                <w:rFonts w:cstheme="minorHAnsi"/>
                <w:sz w:val="20"/>
                <w:szCs w:val="20"/>
              </w:rPr>
              <w:t xml:space="preserve">具备捕获过滤功能，产品支持</w:t>
            </w:r>
            <w:r>
              <w:rPr>
                <w:rFonts w:cstheme="minorHAnsi"/>
                <w:sz w:val="20"/>
                <w:szCs w:val="20"/>
              </w:rPr>
              <w:t xml:space="preserve">BPF</w:t>
            </w:r>
            <w:r>
              <w:rPr>
                <w:rFonts w:cstheme="minorHAnsi"/>
                <w:sz w:val="20"/>
                <w:szCs w:val="20"/>
              </w:rPr>
              <w:t xml:space="preserve">语法过滤和流过滤条件过滤，过滤条件包括源</w:t>
            </w:r>
            <w:r>
              <w:rPr>
                <w:rFonts w:cstheme="minorHAnsi"/>
                <w:sz w:val="20"/>
                <w:szCs w:val="20"/>
              </w:rPr>
              <w:t xml:space="preserve">IP</w:t>
            </w:r>
            <w:r>
              <w:rPr>
                <w:rFonts w:cstheme="minorHAnsi"/>
                <w:sz w:val="20"/>
                <w:szCs w:val="20"/>
              </w:rPr>
              <w:t xml:space="preserve">、源端口、目的</w:t>
            </w:r>
            <w:r>
              <w:rPr>
                <w:rFonts w:cstheme="minorHAnsi"/>
                <w:sz w:val="20"/>
                <w:szCs w:val="20"/>
              </w:rPr>
              <w:t xml:space="preserve">IP</w:t>
            </w:r>
            <w:r>
              <w:rPr>
                <w:rFonts w:cstheme="minorHAnsi"/>
                <w:sz w:val="20"/>
                <w:szCs w:val="20"/>
              </w:rPr>
              <w:t xml:space="preserve">、目的端口、协议、</w:t>
            </w:r>
            <w:r>
              <w:rPr>
                <w:rFonts w:cstheme="minorHAnsi"/>
                <w:sz w:val="20"/>
                <w:szCs w:val="20"/>
              </w:rPr>
              <w:t xml:space="preserve">VLANID</w:t>
            </w:r>
            <w:r>
              <w:rPr>
                <w:rFonts w:cstheme="minorHAnsi"/>
                <w:sz w:val="20"/>
                <w:szCs w:val="20"/>
              </w:rPr>
              <w:t xml:space="preserve">等，支持与、或、非的组合方式过滤流量；</w:t>
            </w:r>
            <w:r>
              <w:rPr>
                <w:rFonts w:hint="eastAsia" w:cstheme="minorHAnsi"/>
                <w:b/>
                <w:bCs/>
                <w:sz w:val="20"/>
                <w:szCs w:val="20"/>
              </w:rPr>
              <w:t xml:space="preserve">（提供产品证明截图）</w:t>
            </w:r>
            <w:r/>
          </w:p>
        </w:tc>
      </w:tr>
      <w:tr>
        <w:trPr>
          <w:cantSplit/>
          <w:trHeight w:val="20"/>
        </w:trPr>
        <w:tc>
          <w:tcPr>
            <w:tcW w:w="1345" w:type="dxa"/>
            <w:vAlign w:val="center"/>
            <w:vMerge w:val="restart"/>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入侵防护</w:t>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sz w:val="20"/>
                <w:szCs w:val="20"/>
              </w:rPr>
              <w:t xml:space="preserve">▲</w:t>
            </w:r>
            <w:r>
              <w:rPr>
                <w:rFonts w:hint="eastAsia" w:ascii="宋体" w:hAnsi="宋体" w:cs="宋体"/>
                <w:sz w:val="20"/>
                <w:szCs w:val="20"/>
              </w:rPr>
              <w:t xml:space="preserve">主机访问内部网络，支持将内网主机隔离在不同的子网，将异常通信限制在独立子网之中，提高网络整体安全，支持隔离病毒源地址，防止病毒源</w:t>
            </w:r>
            <w:r>
              <w:rPr>
                <w:rFonts w:hint="eastAsia" w:ascii="宋体" w:hAnsi="宋体" w:cs="宋体"/>
                <w:sz w:val="16"/>
                <w:szCs w:val="16"/>
              </w:rPr>
              <w:t xml:space="preserve">。</w:t>
            </w:r>
            <w:r>
              <w:rPr>
                <w:rFonts w:hint="eastAsia" w:ascii="宋体" w:hAnsi="宋体" w:cs="宋体"/>
                <w:b/>
                <w:bCs/>
                <w:sz w:val="20"/>
                <w:szCs w:val="20"/>
              </w:rPr>
              <w:t xml:space="preserve">（提供具有CMA认证的检测机构出具的检测报告扫描件）</w:t>
            </w:r>
            <w:r/>
          </w:p>
        </w:tc>
      </w:tr>
      <w:tr>
        <w:trPr>
          <w:cantSplit/>
          <w:trHeight w:val="20"/>
        </w:trPr>
        <w:tc>
          <w:tcPr>
            <w:tcW w:w="134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sz w:val="20"/>
                <w:szCs w:val="20"/>
              </w:rPr>
              <w:t xml:space="preserve">▲</w:t>
            </w:r>
            <w:r>
              <w:rPr>
                <w:rFonts w:hint="eastAsia" w:ascii="宋体" w:hAnsi="宋体" w:cs="宋体"/>
                <w:sz w:val="20"/>
                <w:szCs w:val="20"/>
              </w:rPr>
              <w:t xml:space="preserve">支持HTTP类攻击重定向功能，能够把HTTP协议的攻击类型重定向到指定蜜罐系统。</w:t>
            </w:r>
            <w:r>
              <w:rPr>
                <w:rFonts w:hint="eastAsia" w:ascii="宋体" w:hAnsi="宋体" w:cs="宋体"/>
                <w:b/>
                <w:bCs/>
                <w:sz w:val="20"/>
                <w:szCs w:val="20"/>
              </w:rPr>
              <w:t xml:space="preserve">（提供具有CMA认证的检测机构出具的检测报告扫描件）</w:t>
            </w:r>
            <w:r/>
          </w:p>
        </w:tc>
      </w:tr>
      <w:tr>
        <w:trPr>
          <w:cantSplit/>
          <w:trHeight w:val="20"/>
        </w:trPr>
        <w:tc>
          <w:tcPr>
            <w:tcW w:w="134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内置IPS特征库，特征规则数量不少于8000条，</w:t>
            </w:r>
            <w:r>
              <w:rPr>
                <w:rFonts w:hint="eastAsia" w:ascii="宋体" w:hAnsi="宋体" w:cs="宋体"/>
                <w:sz w:val="20"/>
                <w:szCs w:val="20"/>
              </w:rPr>
              <w:t xml:space="preserve">特征库可按</w:t>
            </w:r>
            <w:r>
              <w:rPr>
                <w:rFonts w:hint="eastAsia" w:ascii="宋体" w:hAnsi="宋体" w:cs="宋体"/>
                <w:sz w:val="20"/>
                <w:szCs w:val="20"/>
              </w:rPr>
              <w:t xml:space="preserve">分组进行管理</w:t>
            </w:r>
            <w:r/>
          </w:p>
        </w:tc>
      </w:tr>
      <w:tr>
        <w:trPr>
          <w:cantSplit/>
          <w:trHeight w:val="20"/>
        </w:trPr>
        <w:tc>
          <w:tcPr>
            <w:tcW w:w="134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入侵防御特征库</w:t>
            </w:r>
            <w:r>
              <w:rPr>
                <w:rFonts w:hint="eastAsia" w:ascii="宋体" w:hAnsi="宋体" w:cs="宋体"/>
                <w:sz w:val="20"/>
                <w:szCs w:val="20"/>
              </w:rPr>
              <w:t xml:space="preserve">库</w:t>
            </w:r>
            <w:r>
              <w:rPr>
                <w:rFonts w:hint="eastAsia" w:ascii="宋体" w:hAnsi="宋体" w:cs="宋体"/>
                <w:sz w:val="20"/>
                <w:szCs w:val="20"/>
              </w:rPr>
              <w:t xml:space="preserve">至少应包括信息窃取、木马后门、间谍软件、可疑行为、网络设备攻击、安全漏洞及网络数据库攻击等的特征事件</w:t>
            </w:r>
            <w:r/>
          </w:p>
        </w:tc>
      </w:tr>
      <w:tr>
        <w:trPr>
          <w:cantSplit/>
          <w:trHeight w:val="20"/>
        </w:trPr>
        <w:tc>
          <w:tcPr>
            <w:tcW w:w="1345" w:type="dxa"/>
            <w:vAlign w:val="center"/>
            <w:vMerge w:val="restart"/>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协议解析</w:t>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b/>
                <w:sz w:val="20"/>
                <w:szCs w:val="20"/>
              </w:rPr>
              <w:t xml:space="preserve">▲</w:t>
            </w:r>
            <w:r>
              <w:rPr>
                <w:rFonts w:hint="eastAsia" w:ascii="宋体" w:hAnsi="宋体" w:cs="宋体"/>
                <w:sz w:val="20"/>
                <w:szCs w:val="20"/>
              </w:rPr>
              <w:t xml:space="preserve">支持协议自定义解析，能够完成私有协议解析工作</w:t>
            </w:r>
            <w:r>
              <w:rPr>
                <w:rFonts w:hint="eastAsia" w:cstheme="minorHAnsi"/>
                <w:b/>
                <w:bCs/>
                <w:sz w:val="20"/>
                <w:szCs w:val="20"/>
              </w:rPr>
              <w:t xml:space="preserve">（提供产品证明截图）</w:t>
            </w:r>
            <w:r/>
          </w:p>
        </w:tc>
      </w:tr>
      <w:tr>
        <w:trPr>
          <w:cantSplit/>
          <w:trHeight w:val="20"/>
        </w:trPr>
        <w:tc>
          <w:tcPr>
            <w:tcW w:w="1345" w:type="dxa"/>
            <w:vAlign w:val="center"/>
            <w:vMerge w:val="continue"/>
            <w:textDirection w:val="lrTb"/>
            <w:noWrap w:val="false"/>
          </w:tcPr>
          <w:p>
            <w:pPr>
              <w:jc w:val="left"/>
              <w:widowControl/>
              <w:rPr>
                <w:sz w:val="20"/>
                <w:szCs w:val="20"/>
              </w:rPr>
            </w:pPr>
            <w:r>
              <w:rPr>
                <w:sz w:val="20"/>
                <w:szCs w:val="20"/>
              </w:rPr>
            </w:r>
            <w:r/>
          </w:p>
        </w:tc>
        <w:tc>
          <w:tcPr>
            <w:tcW w:w="8011" w:type="dxa"/>
            <w:vAlign w:val="center"/>
            <w:textDirection w:val="lrTb"/>
            <w:noWrap w:val="false"/>
          </w:tcPr>
          <w:p>
            <w:pPr>
              <w:jc w:val="left"/>
              <w:widowControl/>
              <w:rPr>
                <w:rFonts w:cstheme="minorHAnsi"/>
                <w:sz w:val="20"/>
                <w:szCs w:val="20"/>
              </w:rPr>
            </w:pPr>
            <w:r>
              <w:rPr>
                <w:rFonts w:hint="eastAsia" w:ascii="宋体" w:hAnsi="宋体"/>
                <w:b/>
                <w:sz w:val="20"/>
                <w:szCs w:val="20"/>
              </w:rPr>
              <w:t xml:space="preserve">▲</w:t>
            </w:r>
            <w:r>
              <w:rPr>
                <w:rFonts w:cstheme="minorHAnsi"/>
                <w:sz w:val="20"/>
                <w:szCs w:val="20"/>
              </w:rPr>
              <w:t xml:space="preserve">支持文件还原，可支持</w:t>
            </w:r>
            <w:r>
              <w:rPr>
                <w:rFonts w:cstheme="minorHAnsi"/>
                <w:sz w:val="20"/>
                <w:szCs w:val="20"/>
              </w:rPr>
              <w:t xml:space="preserve">HTTP</w:t>
            </w:r>
            <w:r>
              <w:rPr>
                <w:rFonts w:cstheme="minorHAnsi"/>
                <w:sz w:val="20"/>
                <w:szCs w:val="20"/>
              </w:rPr>
              <w:t xml:space="preserve">、</w:t>
            </w:r>
            <w:r>
              <w:rPr>
                <w:rFonts w:cstheme="minorHAnsi"/>
                <w:sz w:val="20"/>
                <w:szCs w:val="20"/>
              </w:rPr>
              <w:t xml:space="preserve">FTP</w:t>
            </w:r>
            <w:r>
              <w:rPr>
                <w:rFonts w:cstheme="minorHAnsi"/>
                <w:sz w:val="20"/>
                <w:szCs w:val="20"/>
              </w:rPr>
              <w:t xml:space="preserve">、邮件等协议文件还原提取</w:t>
            </w:r>
            <w:r>
              <w:rPr>
                <w:rFonts w:cstheme="minorHAnsi"/>
                <w:sz w:val="20"/>
                <w:szCs w:val="20"/>
              </w:rPr>
              <w:t xml:space="preserve">MD5</w:t>
            </w:r>
            <w:r>
              <w:rPr>
                <w:rFonts w:cstheme="minorHAnsi"/>
                <w:sz w:val="20"/>
                <w:szCs w:val="20"/>
              </w:rPr>
              <w:t xml:space="preserve">功能</w:t>
            </w:r>
            <w:r>
              <w:rPr>
                <w:rFonts w:hint="eastAsia" w:cstheme="minorHAnsi"/>
                <w:b/>
                <w:bCs/>
                <w:sz w:val="20"/>
                <w:szCs w:val="20"/>
              </w:rPr>
              <w:t xml:space="preserve">（提供产品证明截图）</w:t>
            </w:r>
            <w:r/>
          </w:p>
        </w:tc>
      </w:tr>
      <w:tr>
        <w:trPr>
          <w:cantSplit/>
          <w:trHeight w:val="20"/>
        </w:trPr>
        <w:tc>
          <w:tcPr>
            <w:tcW w:w="1345" w:type="dxa"/>
            <w:vAlign w:val="center"/>
            <w:vMerge w:val="restart"/>
            <w:textDirection w:val="lrTb"/>
            <w:noWrap w:val="false"/>
          </w:tcPr>
          <w:p>
            <w:pPr>
              <w:jc w:val="center"/>
              <w:rPr>
                <w:rFonts w:ascii="宋体" w:hAnsi="宋体" w:cs="宋体"/>
                <w:b/>
                <w:sz w:val="20"/>
                <w:szCs w:val="20"/>
              </w:rPr>
            </w:pPr>
            <w:r>
              <w:rPr>
                <w:rFonts w:hint="eastAsia" w:ascii="宋体" w:hAnsi="宋体" w:cs="宋体"/>
                <w:b/>
                <w:sz w:val="20"/>
                <w:szCs w:val="20"/>
              </w:rPr>
              <w:t xml:space="preserve">抗拒</w:t>
            </w:r>
            <w:r>
              <w:rPr>
                <w:rFonts w:hint="eastAsia" w:ascii="宋体" w:hAnsi="宋体" w:cs="宋体"/>
                <w:b/>
                <w:sz w:val="20"/>
                <w:szCs w:val="20"/>
              </w:rPr>
              <w:t xml:space="preserve">绝服务</w:t>
            </w:r>
            <w:r>
              <w:rPr>
                <w:rFonts w:hint="eastAsia" w:ascii="宋体" w:hAnsi="宋体" w:cs="宋体"/>
                <w:b/>
                <w:sz w:val="20"/>
                <w:szCs w:val="20"/>
              </w:rPr>
              <w:t xml:space="preserve">攻击</w:t>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sz w:val="20"/>
                <w:szCs w:val="20"/>
              </w:rPr>
              <w:t xml:space="preserve">▲</w:t>
            </w:r>
            <w:r>
              <w:rPr>
                <w:rFonts w:hint="eastAsia" w:ascii="宋体" w:hAnsi="宋体" w:cs="宋体"/>
                <w:sz w:val="20"/>
                <w:szCs w:val="20"/>
              </w:rPr>
              <w:t xml:space="preserve">支持专业的DNSflood攻击防护，具有高级的基于聚类限速、聚类分析、重传检测等多种高级防护算法</w:t>
            </w:r>
            <w:r>
              <w:rPr>
                <w:rFonts w:hint="eastAsia" w:ascii="宋体" w:hAnsi="宋体" w:cs="宋体"/>
                <w:b/>
                <w:bCs/>
                <w:sz w:val="20"/>
                <w:szCs w:val="20"/>
              </w:rPr>
              <w:t xml:space="preserve">（提供具有CMA认证的检测机构出具的检测报告扫描件）。</w:t>
            </w:r>
            <w:r/>
          </w:p>
        </w:tc>
      </w:tr>
      <w:tr>
        <w:trPr>
          <w:cantSplit/>
          <w:trHeight w:val="20"/>
        </w:trPr>
        <w:tc>
          <w:tcPr>
            <w:tcW w:w="134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sz w:val="20"/>
                <w:szCs w:val="20"/>
              </w:rPr>
              <w:t xml:space="preserve">▲</w:t>
            </w:r>
            <w:r>
              <w:rPr>
                <w:rFonts w:hint="eastAsia" w:ascii="宋体" w:hAnsi="宋体" w:cs="宋体"/>
                <w:sz w:val="20"/>
                <w:szCs w:val="20"/>
              </w:rPr>
              <w:t xml:space="preserve">支持主流ICMPFLOOD\SYNFLOODACKFLOOD\SYNACKFLOOD\UDPFLOOD</w:t>
            </w:r>
            <w:r>
              <w:rPr>
                <w:rFonts w:hint="eastAsia" w:ascii="宋体" w:hAnsi="宋体" w:cs="宋体"/>
                <w:sz w:val="20"/>
                <w:szCs w:val="20"/>
              </w:rPr>
              <w:t xml:space="preserve">政击防护</w:t>
            </w:r>
            <w:r>
              <w:rPr>
                <w:rFonts w:hint="eastAsia" w:ascii="宋体" w:hAnsi="宋体" w:cs="宋体"/>
                <w:sz w:val="20"/>
                <w:szCs w:val="20"/>
              </w:rPr>
              <w:t xml:space="preserve">，采用专业高效攻击防护算法，非采用简单的阀值进行攻击防护</w:t>
            </w:r>
            <w:r>
              <w:rPr>
                <w:rFonts w:hint="eastAsia" w:ascii="宋体" w:hAnsi="宋体" w:cs="宋体"/>
                <w:b/>
                <w:bCs/>
                <w:sz w:val="20"/>
                <w:szCs w:val="20"/>
              </w:rPr>
              <w:t xml:space="preserve">（提供具有CMA认证的检测机构出具的检测报告扫描件）</w:t>
            </w:r>
            <w:r>
              <w:rPr>
                <w:rFonts w:hint="eastAsia" w:ascii="宋体" w:hAnsi="宋体"/>
                <w:b/>
                <w:bCs/>
                <w:sz w:val="20"/>
                <w:szCs w:val="20"/>
              </w:rPr>
              <w:t xml:space="preserve">。</w:t>
            </w:r>
            <w:r/>
          </w:p>
        </w:tc>
      </w:tr>
      <w:tr>
        <w:trPr>
          <w:cantSplit/>
          <w:trHeight w:val="20"/>
        </w:trPr>
        <w:tc>
          <w:tcPr>
            <w:tcW w:w="1345" w:type="dxa"/>
            <w:vAlign w:val="center"/>
            <w:vMerge w:val="restart"/>
            <w:textDirection w:val="lrTb"/>
            <w:noWrap w:val="false"/>
          </w:tcPr>
          <w:p>
            <w:pPr>
              <w:jc w:val="center"/>
              <w:widowControl/>
              <w:rPr>
                <w:rFonts w:ascii="宋体" w:hAnsi="宋体" w:cs="宋体" w:eastAsiaTheme="minorEastAsia"/>
                <w:b/>
                <w:sz w:val="20"/>
                <w:szCs w:val="20"/>
              </w:rPr>
            </w:pPr>
            <w:r>
              <w:rPr>
                <w:rFonts w:hint="eastAsia" w:ascii="宋体" w:hAnsi="宋体" w:cs="宋体"/>
                <w:b/>
                <w:sz w:val="20"/>
                <w:szCs w:val="20"/>
              </w:rPr>
              <w:t xml:space="preserve">数据安全</w:t>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sz w:val="20"/>
                <w:szCs w:val="20"/>
              </w:rPr>
              <w:t xml:space="preserve">▲</w:t>
            </w:r>
            <w:r>
              <w:rPr>
                <w:rFonts w:hint="eastAsia" w:ascii="宋体" w:hAnsi="宋体" w:cs="宋体"/>
                <w:sz w:val="20"/>
                <w:szCs w:val="20"/>
              </w:rPr>
              <w:t xml:space="preserve">支持外发信息的控制，可实现对BBS发帖的限制和关键字过滤；可实现发送</w:t>
            </w:r>
            <w:r>
              <w:rPr>
                <w:rFonts w:hint="eastAsia" w:ascii="宋体" w:hAnsi="宋体" w:cs="宋体"/>
                <w:sz w:val="20"/>
                <w:szCs w:val="20"/>
              </w:rPr>
              <w:t xml:space="preserve">微博信息</w:t>
            </w:r>
            <w:r>
              <w:rPr>
                <w:rFonts w:hint="eastAsia" w:ascii="宋体" w:hAnsi="宋体" w:cs="宋体"/>
                <w:sz w:val="20"/>
                <w:szCs w:val="20"/>
              </w:rPr>
              <w:t xml:space="preserve">的限制和关键字过滤；可实现对WEB邮件的收发限制和关键字过滤。</w:t>
            </w:r>
            <w:r>
              <w:rPr>
                <w:rFonts w:hint="eastAsia" w:ascii="宋体" w:hAnsi="宋体" w:cs="宋体"/>
                <w:b/>
                <w:bCs/>
                <w:sz w:val="20"/>
                <w:szCs w:val="20"/>
              </w:rPr>
              <w:t xml:space="preserve">（提供具有CMA认证的检测机构出具的检测报告扫描件）</w:t>
            </w:r>
            <w:r/>
          </w:p>
        </w:tc>
      </w:tr>
      <w:tr>
        <w:trPr>
          <w:cantSplit/>
          <w:trHeight w:val="20"/>
        </w:trPr>
        <w:tc>
          <w:tcPr>
            <w:tcW w:w="134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sz w:val="20"/>
                <w:szCs w:val="20"/>
              </w:rPr>
              <w:t xml:space="preserve">▲为确保业务连续性及稳定性，此次投标产品需要支持和当前内网专线出口“核心防火墙”做双</w:t>
            </w:r>
            <w:r>
              <w:rPr>
                <w:rFonts w:hint="eastAsia" w:ascii="宋体" w:hAnsi="宋体"/>
                <w:sz w:val="20"/>
                <w:szCs w:val="20"/>
              </w:rPr>
              <w:t xml:space="preserve">机热备</w:t>
            </w:r>
            <w:r>
              <w:rPr>
                <w:rFonts w:hint="eastAsia" w:ascii="宋体" w:hAnsi="宋体"/>
                <w:sz w:val="20"/>
                <w:szCs w:val="20"/>
              </w:rPr>
              <w:t xml:space="preserve">，保障业务安全，数据安全，</w:t>
            </w:r>
            <w:r>
              <w:rPr>
                <w:rFonts w:hint="eastAsia" w:ascii="宋体" w:hAnsi="宋体"/>
                <w:b/>
                <w:bCs/>
                <w:sz w:val="20"/>
                <w:szCs w:val="20"/>
              </w:rPr>
              <w:t xml:space="preserve">中标后</w:t>
            </w:r>
            <w:r>
              <w:rPr>
                <w:rFonts w:hint="eastAsia" w:ascii="宋体" w:hAnsi="宋体"/>
                <w:b/>
                <w:bCs/>
                <w:sz w:val="20"/>
                <w:szCs w:val="20"/>
              </w:rPr>
              <w:t xml:space="preserve">需提供所投产品厂商承诺函加盖原厂公章</w:t>
            </w:r>
            <w:r/>
          </w:p>
        </w:tc>
      </w:tr>
      <w:tr>
        <w:trPr>
          <w:cantSplit/>
          <w:trHeight w:val="20"/>
        </w:trPr>
        <w:tc>
          <w:tcPr>
            <w:tcW w:w="134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支持邮件服务器地址黑名单、邮件地址、主题、正文、附件名、附件内容等进行关键字匹配过滤</w:t>
            </w:r>
            <w:r/>
          </w:p>
        </w:tc>
      </w:tr>
      <w:tr>
        <w:trPr>
          <w:cantSplit/>
          <w:trHeight w:val="20"/>
        </w:trPr>
        <w:tc>
          <w:tcPr>
            <w:tcW w:w="1345" w:type="dxa"/>
            <w:vAlign w:val="center"/>
            <w:vMerge w:val="restart"/>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资质</w:t>
            </w:r>
            <w:r/>
          </w:p>
        </w:tc>
        <w:tc>
          <w:tcPr>
            <w:tcW w:w="8011" w:type="dxa"/>
            <w:textDirection w:val="lrTb"/>
            <w:noWrap w:val="false"/>
          </w:tcPr>
          <w:p>
            <w:pPr>
              <w:jc w:val="left"/>
              <w:widowControl/>
              <w:rPr>
                <w:rFonts w:ascii="宋体" w:hAnsi="宋体" w:cs="宋体" w:eastAsiaTheme="minorEastAsia"/>
                <w:sz w:val="20"/>
                <w:szCs w:val="20"/>
              </w:rPr>
            </w:pPr>
            <w:r>
              <w:rPr>
                <w:rFonts w:hint="eastAsia" w:ascii="宋体" w:hAnsi="宋体" w:cs="宋体"/>
                <w:sz w:val="20"/>
                <w:szCs w:val="20"/>
              </w:rPr>
              <w:t xml:space="preserve">产品具有《网络关键设备和网络安全专用产品安全认证证书》</w:t>
            </w:r>
            <w:r/>
          </w:p>
        </w:tc>
      </w:tr>
      <w:tr>
        <w:trPr>
          <w:cantSplit/>
          <w:trHeight w:val="20"/>
        </w:trPr>
        <w:tc>
          <w:tcPr>
            <w:tcW w:w="134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tcW w:w="8011" w:type="dxa"/>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产品具有《国家信息安全漏洞库（CNNVD）兼容性资质证书》</w:t>
            </w:r>
            <w:r/>
          </w:p>
        </w:tc>
      </w:tr>
      <w:tr>
        <w:trPr>
          <w:cantSplit/>
          <w:trHeight w:val="20"/>
        </w:trPr>
        <w:tc>
          <w:tcPr>
            <w:tcW w:w="134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tcW w:w="8011" w:type="dxa"/>
            <w:vAlign w:val="center"/>
            <w:textDirection w:val="lrTb"/>
            <w:noWrap w:val="false"/>
          </w:tcPr>
          <w:p>
            <w:pPr>
              <w:jc w:val="left"/>
              <w:widowControl/>
              <w:rPr>
                <w:rFonts w:ascii="宋体" w:hAnsi="宋体" w:cs="宋体"/>
                <w:sz w:val="20"/>
                <w:szCs w:val="20"/>
              </w:rPr>
            </w:pPr>
            <w:r>
              <w:rPr>
                <w:rFonts w:hint="eastAsia" w:ascii="宋体" w:hAnsi="宋体"/>
                <w:sz w:val="20"/>
                <w:szCs w:val="20"/>
              </w:rPr>
              <w:t xml:space="preserve">▲产品具有防雷击功能，必须通过国家无线电监测中心检测中心浪涌（冲击）4KV抗扰度测试项目，</w:t>
            </w:r>
            <w:r>
              <w:rPr>
                <w:rFonts w:hint="eastAsia" w:ascii="宋体" w:hAnsi="宋体"/>
                <w:sz w:val="20"/>
                <w:szCs w:val="20"/>
              </w:rPr>
              <w:t xml:space="preserve">并</w:t>
            </w:r>
            <w:r>
              <w:rPr>
                <w:rFonts w:hint="eastAsia" w:ascii="宋体" w:hAnsi="宋体"/>
                <w:b/>
                <w:bCs/>
                <w:sz w:val="20"/>
                <w:szCs w:val="20"/>
              </w:rPr>
              <w:t xml:space="preserve">出具具有资质的第三方检测中心委托测试报告</w:t>
            </w:r>
            <w:r/>
          </w:p>
        </w:tc>
      </w:tr>
    </w:tbl>
    <w:p>
      <w:pPr>
        <w:spacing w:line="480" w:lineRule="auto"/>
        <w:tabs>
          <w:tab w:val="left" w:pos="1710" w:leader="none"/>
        </w:tabs>
        <w:rPr>
          <w:rFonts w:ascii="宋体" w:hAnsi="宋体"/>
          <w:sz w:val="15"/>
          <w:szCs w:val="15"/>
        </w:rPr>
      </w:pPr>
      <w:r>
        <w:rPr>
          <w:rFonts w:ascii="宋体" w:hAnsi="宋体"/>
          <w:sz w:val="15"/>
          <w:szCs w:val="15"/>
        </w:rPr>
      </w:r>
      <w:r/>
    </w:p>
    <w:p>
      <w:pPr>
        <w:rPr>
          <w:rFonts w:ascii="宋体" w:hAnsi="宋体"/>
          <w:b/>
          <w:bCs/>
          <w:sz w:val="20"/>
          <w:szCs w:val="20"/>
        </w:rPr>
      </w:pPr>
      <w:r>
        <w:rPr>
          <w:rFonts w:ascii="宋体" w:hAnsi="宋体"/>
          <w:b/>
          <w:bCs/>
          <w:sz w:val="20"/>
          <w:szCs w:val="20"/>
        </w:rPr>
        <w:br w:type="page" w:clear="all"/>
      </w:r>
      <w:r/>
    </w:p>
    <w:p>
      <w:pPr>
        <w:spacing w:line="480" w:lineRule="auto"/>
        <w:tabs>
          <w:tab w:val="left" w:pos="1710" w:leader="none"/>
        </w:tabs>
        <w:rPr>
          <w:rFonts w:ascii="宋体" w:hAnsi="宋体"/>
          <w:b/>
          <w:bCs/>
          <w:sz w:val="20"/>
          <w:szCs w:val="20"/>
        </w:rPr>
      </w:pPr>
      <w:r>
        <w:rPr>
          <w:rFonts w:ascii="宋体" w:hAnsi="宋体"/>
          <w:b/>
          <w:bCs/>
          <w:sz w:val="20"/>
          <w:szCs w:val="20"/>
        </w:rPr>
        <w:t xml:space="preserve">2）</w:t>
      </w:r>
      <w:r>
        <w:rPr>
          <w:rFonts w:hint="eastAsia" w:ascii="宋体" w:hAnsi="宋体"/>
          <w:b/>
          <w:bCs/>
          <w:sz w:val="20"/>
          <w:szCs w:val="20"/>
        </w:rPr>
        <w:t xml:space="preserve">入侵防御</w:t>
      </w:r>
      <w:r/>
    </w:p>
    <w:tbl>
      <w:tblPr>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1"/>
        <w:gridCol w:w="7371"/>
      </w:tblGrid>
      <w:tr>
        <w:trPr>
          <w:jc w:val="center"/>
          <w:trHeight w:val="40"/>
        </w:trPr>
        <w:tc>
          <w:tcPr>
            <w:tcBorders>
              <w:top w:val="single" w:color="auto" w:sz="8" w:space="0"/>
              <w:left w:val="single" w:color="auto" w:sz="8" w:space="0"/>
              <w:right w:val="single" w:color="auto" w:sz="8" w:space="0"/>
            </w:tcBorders>
            <w:tcW w:w="1691" w:type="dxa"/>
            <w:vAlign w:val="center"/>
            <w:textDirection w:val="lrTb"/>
            <w:noWrap w:val="false"/>
          </w:tcPr>
          <w:p>
            <w:pPr>
              <w:jc w:val="center"/>
              <w:rPr>
                <w:rFonts w:ascii="宋体" w:hAnsi="宋体"/>
                <w:b/>
                <w:sz w:val="20"/>
                <w:szCs w:val="20"/>
              </w:rPr>
            </w:pPr>
            <w:r>
              <w:rPr>
                <w:rFonts w:hint="eastAsia" w:ascii="宋体" w:hAnsi="宋体"/>
                <w:b/>
                <w:bCs/>
                <w:sz w:val="20"/>
                <w:szCs w:val="20"/>
              </w:rPr>
              <w:t xml:space="preserve">指标项</w:t>
            </w:r>
            <w:r/>
          </w:p>
        </w:tc>
        <w:tc>
          <w:tcPr>
            <w:tcBorders>
              <w:top w:val="single" w:color="auto" w:sz="8" w:space="0"/>
              <w:left w:val="single" w:color="auto" w:sz="8" w:space="0"/>
              <w:bottom w:val="single" w:color="auto" w:sz="8" w:space="0"/>
              <w:right w:val="single" w:color="auto" w:sz="8" w:space="0"/>
            </w:tcBorders>
            <w:tcW w:w="7371" w:type="dxa"/>
            <w:vAlign w:val="center"/>
            <w:textDirection w:val="lrTb"/>
            <w:noWrap w:val="false"/>
          </w:tcPr>
          <w:p>
            <w:pPr>
              <w:jc w:val="center"/>
              <w:rPr>
                <w:rFonts w:ascii="宋体" w:hAnsi="宋体"/>
                <w:sz w:val="20"/>
                <w:szCs w:val="20"/>
              </w:rPr>
            </w:pPr>
            <w:r>
              <w:rPr>
                <w:rFonts w:hint="eastAsia" w:ascii="宋体" w:hAnsi="宋体" w:cs="宋体"/>
                <w:b/>
                <w:sz w:val="20"/>
                <w:szCs w:val="20"/>
              </w:rPr>
              <w:t xml:space="preserve">描述</w:t>
            </w:r>
            <w:r/>
          </w:p>
        </w:tc>
      </w:tr>
      <w:tr>
        <w:trPr>
          <w:jc w:val="center"/>
          <w:trHeight w:val="90"/>
        </w:trPr>
        <w:tc>
          <w:tcPr>
            <w:tcBorders>
              <w:top w:val="single" w:color="auto" w:sz="8" w:space="0"/>
              <w:left w:val="single" w:color="auto" w:sz="8" w:space="0"/>
              <w:right w:val="single" w:color="auto" w:sz="8" w:space="0"/>
            </w:tcBorders>
            <w:tcW w:w="1691" w:type="dxa"/>
            <w:vAlign w:val="center"/>
            <w:textDirection w:val="lrTb"/>
            <w:noWrap w:val="false"/>
          </w:tcPr>
          <w:p>
            <w:pPr>
              <w:jc w:val="center"/>
              <w:rPr>
                <w:rFonts w:ascii="宋体" w:hAnsi="宋体"/>
                <w:b/>
                <w:sz w:val="20"/>
                <w:szCs w:val="20"/>
              </w:rPr>
            </w:pPr>
            <w:r>
              <w:rPr>
                <w:rFonts w:hint="eastAsia" w:ascii="宋体" w:hAnsi="宋体" w:cs="宋体"/>
                <w:b/>
                <w:sz w:val="20"/>
                <w:szCs w:val="20"/>
              </w:rPr>
              <w:t xml:space="preserve">▲硬件要求</w:t>
            </w:r>
            <w:r/>
          </w:p>
        </w:tc>
        <w:tc>
          <w:tcPr>
            <w:tcBorders>
              <w:top w:val="single" w:color="auto" w:sz="8" w:space="0"/>
              <w:left w:val="single" w:color="auto" w:sz="8" w:space="0"/>
              <w:bottom w:val="single" w:color="auto" w:sz="8"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cs="宋体"/>
                <w:sz w:val="20"/>
                <w:szCs w:val="20"/>
              </w:rPr>
              <w:t xml:space="preserve">标准机架式设备，国产化软硬件平台，设备配置≥4个千兆自适应电口（支持bypass）,≥4个千兆SFP</w:t>
            </w:r>
            <w:r>
              <w:rPr>
                <w:rFonts w:hint="eastAsia" w:ascii="宋体" w:hAnsi="宋体" w:cs="宋体"/>
                <w:sz w:val="20"/>
                <w:szCs w:val="20"/>
              </w:rPr>
              <w:t xml:space="preserve">光口插槽</w:t>
            </w:r>
            <w:r>
              <w:rPr>
                <w:rFonts w:hint="eastAsia" w:ascii="宋体" w:hAnsi="宋体" w:cs="宋体"/>
                <w:sz w:val="20"/>
                <w:szCs w:val="20"/>
              </w:rPr>
              <w:t xml:space="preserve">，1个RJ45console口，2个USB接口，满足上述接口后剩余可用接口扩展槽位不少于2个。</w:t>
            </w:r>
            <w:r/>
          </w:p>
        </w:tc>
      </w:tr>
      <w:tr>
        <w:trPr>
          <w:jc w:val="center"/>
          <w:trHeight w:val="270"/>
        </w:trPr>
        <w:tc>
          <w:tcPr>
            <w:tcBorders>
              <w:left w:val="single" w:color="auto" w:sz="8" w:space="0"/>
              <w:bottom w:val="single" w:color="auto" w:sz="8" w:space="0"/>
              <w:right w:val="single" w:color="auto" w:sz="8" w:space="0"/>
            </w:tcBorders>
            <w:tcW w:w="1691" w:type="dxa"/>
            <w:vAlign w:val="center"/>
            <w:textDirection w:val="lrTb"/>
            <w:noWrap w:val="false"/>
          </w:tcPr>
          <w:p>
            <w:pPr>
              <w:jc w:val="center"/>
              <w:rPr>
                <w:rFonts w:ascii="宋体" w:hAnsi="宋体"/>
                <w:b/>
                <w:sz w:val="20"/>
                <w:szCs w:val="20"/>
              </w:rPr>
            </w:pPr>
            <w:r>
              <w:rPr>
                <w:rFonts w:hint="eastAsia" w:ascii="宋体" w:hAnsi="宋体"/>
                <w:b/>
                <w:sz w:val="20"/>
                <w:szCs w:val="20"/>
              </w:rPr>
              <w:t xml:space="preserve">▲性能</w:t>
            </w:r>
            <w:r/>
          </w:p>
        </w:tc>
        <w:tc>
          <w:tcPr>
            <w:tcBorders>
              <w:top w:val="single" w:color="auto" w:sz="8" w:space="0"/>
              <w:left w:val="single" w:color="auto" w:sz="8" w:space="0"/>
              <w:bottom w:val="single" w:color="auto" w:sz="8"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整机吞吐量≥30Gbps,最大并发连接数不小于500万，此次提供三年软硬件质保和三年特征库升级服务；</w:t>
            </w:r>
            <w:r/>
          </w:p>
        </w:tc>
      </w:tr>
      <w:tr>
        <w:trPr>
          <w:jc w:val="center"/>
          <w:trHeight w:val="90"/>
        </w:trPr>
        <w:tc>
          <w:tcPr>
            <w:tcBorders>
              <w:top w:val="single" w:color="auto" w:sz="8" w:space="0"/>
              <w:left w:val="single" w:color="auto" w:sz="6" w:space="0"/>
              <w:right w:val="single" w:color="auto" w:sz="6" w:space="0"/>
            </w:tcBorders>
            <w:tcW w:w="1691" w:type="dxa"/>
            <w:vAlign w:val="center"/>
            <w:vMerge w:val="restart"/>
            <w:textDirection w:val="lrTb"/>
            <w:noWrap w:val="false"/>
          </w:tcPr>
          <w:p>
            <w:pPr>
              <w:jc w:val="center"/>
              <w:rPr>
                <w:rFonts w:ascii="宋体" w:hAnsi="宋体"/>
                <w:b/>
                <w:sz w:val="20"/>
                <w:szCs w:val="20"/>
              </w:rPr>
            </w:pPr>
            <w:r>
              <w:rPr>
                <w:rFonts w:hint="eastAsia" w:ascii="宋体" w:hAnsi="宋体"/>
                <w:b/>
                <w:sz w:val="20"/>
                <w:szCs w:val="20"/>
              </w:rPr>
              <w:t xml:space="preserve">入侵防御功能</w:t>
            </w:r>
            <w:r/>
          </w:p>
        </w:tc>
        <w:tc>
          <w:tcPr>
            <w:tcBorders>
              <w:top w:val="single" w:color="auto" w:sz="8" w:space="0"/>
              <w:left w:val="single" w:color="auto" w:sz="6"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系统可检测的入侵防御事件库事件数量不少于8000条</w:t>
            </w:r>
            <w:r/>
          </w:p>
        </w:tc>
      </w:tr>
      <w:tr>
        <w:trPr>
          <w:jc w:val="center"/>
          <w:trHeight w:val="40"/>
        </w:trPr>
        <w:tc>
          <w:tcPr>
            <w:tcBorders>
              <w:left w:val="single" w:color="auto" w:sz="6" w:space="0"/>
              <w:right w:val="single" w:color="auto" w:sz="6" w:space="0"/>
            </w:tcBorders>
            <w:tcW w:w="1691" w:type="dxa"/>
            <w:vAlign w:val="center"/>
            <w:vMerge w:val="continue"/>
            <w:textDirection w:val="lrTb"/>
            <w:noWrap w:val="false"/>
          </w:tcPr>
          <w:p>
            <w:pPr>
              <w:jc w:val="center"/>
              <w:rPr>
                <w:rFonts w:ascii="宋体" w:hAnsi="宋体"/>
                <w:b/>
                <w:sz w:val="20"/>
                <w:szCs w:val="20"/>
              </w:rPr>
            </w:pPr>
            <w:r>
              <w:rPr>
                <w:rFonts w:ascii="宋体" w:hAnsi="宋体"/>
                <w:b/>
                <w:sz w:val="20"/>
                <w:szCs w:val="20"/>
              </w:rPr>
            </w:r>
            <w:r/>
          </w:p>
        </w:tc>
        <w:tc>
          <w:tcPr>
            <w:tcBorders>
              <w:top w:val="single" w:color="auto" w:sz="8" w:space="0"/>
              <w:left w:val="single" w:color="auto" w:sz="6"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▲产品具有SQL注入、XSS攻击检测能力，并支持提供白名单定义功能，能够精确到检测测字段、属性和名称。并支持至少10类和70个配置项目</w:t>
            </w:r>
            <w:r>
              <w:rPr>
                <w:rFonts w:hint="eastAsia" w:ascii="宋体" w:hAnsi="宋体" w:cs="宋体"/>
                <w:b/>
                <w:bCs/>
                <w:sz w:val="20"/>
                <w:szCs w:val="20"/>
              </w:rPr>
              <w:t xml:space="preserve">（提供具有CMA认证的检测机构出具的检测报告扫描件）</w:t>
            </w:r>
            <w:r/>
          </w:p>
        </w:tc>
      </w:tr>
      <w:tr>
        <w:trPr>
          <w:jc w:val="center"/>
          <w:trHeight w:val="312"/>
        </w:trPr>
        <w:tc>
          <w:tcPr>
            <w:tcBorders>
              <w:left w:val="single" w:color="auto" w:sz="6" w:space="0"/>
              <w:right w:val="single" w:color="auto" w:sz="6" w:space="0"/>
            </w:tcBorders>
            <w:tcW w:w="1691" w:type="dxa"/>
            <w:vAlign w:val="center"/>
            <w:vMerge w:val="continue"/>
            <w:textDirection w:val="lrTb"/>
            <w:noWrap w:val="false"/>
          </w:tcPr>
          <w:p>
            <w:pPr>
              <w:jc w:val="center"/>
              <w:rPr>
                <w:rFonts w:ascii="宋体" w:hAnsi="宋体"/>
                <w:b/>
                <w:sz w:val="20"/>
                <w:szCs w:val="20"/>
              </w:rPr>
            </w:pPr>
            <w:r>
              <w:rPr>
                <w:rFonts w:ascii="宋体" w:hAnsi="宋体"/>
                <w:b/>
                <w:sz w:val="20"/>
                <w:szCs w:val="20"/>
              </w:rPr>
            </w:r>
            <w:r/>
          </w:p>
        </w:tc>
        <w:tc>
          <w:tcPr>
            <w:tcBorders>
              <w:top w:val="single" w:color="auto" w:sz="8" w:space="0"/>
              <w:left w:val="single" w:color="auto" w:sz="6"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系统应支持弱口令检测功能，</w:t>
            </w:r>
            <w:r>
              <w:rPr>
                <w:rFonts w:hint="eastAsia" w:ascii="宋体" w:hAnsi="宋体"/>
                <w:sz w:val="20"/>
                <w:szCs w:val="20"/>
              </w:rPr>
              <w:t xml:space="preserve">需支持</w:t>
            </w:r>
            <w:r>
              <w:rPr>
                <w:rFonts w:hint="eastAsia" w:ascii="宋体" w:hAnsi="宋体"/>
                <w:sz w:val="20"/>
                <w:szCs w:val="20"/>
              </w:rPr>
              <w:t xml:space="preserve">至少8种网络协议并支持至少7种弱口令检测元素，文字说明支持的网络协议和定义弱口令的检测元素。</w:t>
            </w:r>
            <w:r/>
          </w:p>
        </w:tc>
      </w:tr>
      <w:tr>
        <w:trPr>
          <w:jc w:val="center"/>
          <w:trHeight w:val="468"/>
        </w:trPr>
        <w:tc>
          <w:tcPr>
            <w:tcBorders>
              <w:left w:val="single" w:color="auto" w:sz="6" w:space="0"/>
              <w:right w:val="single" w:color="auto" w:sz="6" w:space="0"/>
            </w:tcBorders>
            <w:tcW w:w="1691" w:type="dxa"/>
            <w:vAlign w:val="center"/>
            <w:vMerge w:val="continue"/>
            <w:textDirection w:val="lrTb"/>
            <w:noWrap w:val="false"/>
          </w:tcPr>
          <w:p>
            <w:pPr>
              <w:rPr>
                <w:sz w:val="20"/>
                <w:szCs w:val="20"/>
              </w:rPr>
            </w:pPr>
            <w:r>
              <w:rPr>
                <w:sz w:val="20"/>
                <w:szCs w:val="20"/>
              </w:rPr>
            </w:r>
            <w:r/>
          </w:p>
        </w:tc>
        <w:tc>
          <w:tcPr>
            <w:tcBorders>
              <w:top w:val="single" w:color="auto" w:sz="8" w:space="0"/>
              <w:left w:val="single" w:color="auto" w:sz="6"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系统应支持多种事件响应方式，满足客户的安全要求，需包括：重置、临时阻断、丢弃报文、丢弃会话等动作。系统应支持密码穷举探测功能，提供至少16种应用的密码穷举行为探测和阻断。</w:t>
            </w:r>
            <w:r/>
          </w:p>
        </w:tc>
      </w:tr>
      <w:tr>
        <w:trPr>
          <w:jc w:val="center"/>
          <w:trHeight w:val="468"/>
        </w:trPr>
        <w:tc>
          <w:tcPr>
            <w:tcBorders>
              <w:left w:val="single" w:color="auto" w:sz="6" w:space="0"/>
              <w:right w:val="single" w:color="auto" w:sz="6" w:space="0"/>
            </w:tcBorders>
            <w:tcW w:w="1691" w:type="dxa"/>
            <w:vAlign w:val="center"/>
            <w:vMerge w:val="continue"/>
            <w:textDirection w:val="lrTb"/>
            <w:noWrap w:val="false"/>
          </w:tcPr>
          <w:p>
            <w:pPr>
              <w:rPr>
                <w:sz w:val="20"/>
                <w:szCs w:val="20"/>
              </w:rPr>
            </w:pPr>
            <w:r>
              <w:rPr>
                <w:sz w:val="20"/>
                <w:szCs w:val="20"/>
              </w:rPr>
            </w:r>
            <w:r/>
          </w:p>
        </w:tc>
        <w:tc>
          <w:tcPr>
            <w:tcBorders>
              <w:top w:val="single" w:color="auto" w:sz="8" w:space="0"/>
              <w:left w:val="single" w:color="auto" w:sz="6"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▲产品具有网络攻击流量过滤技术，可通过对网络流量的初始样本进行多次求和差值过滤来实现更加准确的攻击流量过滤结果，</w:t>
            </w:r>
            <w:r>
              <w:rPr>
                <w:rFonts w:hint="eastAsia" w:ascii="宋体" w:hAnsi="宋体"/>
                <w:b/>
                <w:bCs/>
                <w:sz w:val="20"/>
                <w:szCs w:val="20"/>
              </w:rPr>
              <w:t xml:space="preserve">提供机构出具第三方证明材料扫描件，提供机构出具第三方证明材料扫描件，并提供相应的官方查询截图</w:t>
            </w:r>
            <w:r/>
          </w:p>
        </w:tc>
      </w:tr>
      <w:tr>
        <w:trPr>
          <w:jc w:val="center"/>
          <w:trHeight w:val="669"/>
        </w:trPr>
        <w:tc>
          <w:tcPr>
            <w:tcBorders>
              <w:left w:val="single" w:color="auto" w:sz="6" w:space="0"/>
              <w:right w:val="single" w:color="auto" w:sz="6" w:space="0"/>
            </w:tcBorders>
            <w:tcW w:w="1691" w:type="dxa"/>
            <w:vAlign w:val="center"/>
            <w:vMerge w:val="restart"/>
            <w:textDirection w:val="lrTb"/>
            <w:noWrap w:val="false"/>
          </w:tcPr>
          <w:p>
            <w:pPr>
              <w:rPr>
                <w:sz w:val="20"/>
                <w:szCs w:val="20"/>
              </w:rPr>
            </w:pPr>
            <w:r>
              <w:rPr>
                <w:rFonts w:hint="eastAsia"/>
                <w:b/>
                <w:bCs/>
                <w:sz w:val="20"/>
                <w:szCs w:val="20"/>
              </w:rPr>
              <w:t xml:space="preserve">API</w:t>
            </w:r>
            <w:r>
              <w:rPr>
                <w:rFonts w:hint="eastAsia"/>
                <w:b/>
                <w:bCs/>
                <w:sz w:val="20"/>
                <w:szCs w:val="20"/>
              </w:rPr>
              <w:t xml:space="preserve">防护</w:t>
            </w:r>
            <w:r/>
          </w:p>
        </w:tc>
        <w:tc>
          <w:tcPr>
            <w:tcBorders>
              <w:top w:val="single" w:color="auto" w:sz="8" w:space="0"/>
              <w:left w:val="single" w:color="auto" w:sz="6" w:space="0"/>
              <w:right w:val="single" w:color="auto" w:sz="8" w:space="0"/>
            </w:tcBorders>
            <w:tcW w:w="7371" w:type="dxa"/>
            <w:vAlign w:val="center"/>
            <w:textDirection w:val="lrTb"/>
            <w:noWrap w:val="false"/>
          </w:tcPr>
          <w:p>
            <w:pPr>
              <w:jc w:val="left"/>
              <w:rPr>
                <w:rFonts w:ascii="宋体" w:hAnsi="宋体"/>
                <w:sz w:val="20"/>
                <w:szCs w:val="20"/>
              </w:rPr>
            </w:pPr>
            <w:r>
              <w:rPr>
                <w:rFonts w:hint="eastAsia" w:ascii="宋体" w:hAnsi="宋体"/>
                <w:b/>
                <w:sz w:val="20"/>
                <w:szCs w:val="20"/>
              </w:rPr>
              <w:t xml:space="preserve">▲</w:t>
            </w:r>
            <w:r>
              <w:rPr>
                <w:rFonts w:hint="eastAsia"/>
                <w:sz w:val="20"/>
                <w:szCs w:val="20"/>
              </w:rPr>
              <w:t xml:space="preserve">支持</w:t>
            </w:r>
            <w:r>
              <w:rPr>
                <w:rFonts w:hint="eastAsia"/>
                <w:sz w:val="20"/>
                <w:szCs w:val="20"/>
              </w:rPr>
              <w:t xml:space="preserve">API</w:t>
            </w:r>
            <w:r>
              <w:rPr>
                <w:rFonts w:hint="eastAsia"/>
                <w:sz w:val="20"/>
                <w:szCs w:val="20"/>
              </w:rPr>
              <w:t xml:space="preserve">智能学习</w:t>
            </w:r>
            <w:r>
              <w:rPr>
                <w:rFonts w:hint="eastAsia"/>
                <w:sz w:val="20"/>
                <w:szCs w:val="20"/>
              </w:rPr>
              <w:t xml:space="preserve">,API</w:t>
            </w:r>
            <w:r>
              <w:rPr>
                <w:rFonts w:hint="eastAsia"/>
                <w:sz w:val="20"/>
                <w:szCs w:val="20"/>
              </w:rPr>
              <w:t xml:space="preserve">访问控制，</w:t>
            </w:r>
            <w:r>
              <w:rPr>
                <w:rFonts w:hint="eastAsia"/>
                <w:sz w:val="20"/>
                <w:szCs w:val="20"/>
              </w:rPr>
              <w:t xml:space="preserve">API</w:t>
            </w:r>
            <w:r>
              <w:rPr>
                <w:rFonts w:hint="eastAsia"/>
                <w:sz w:val="20"/>
                <w:szCs w:val="20"/>
              </w:rPr>
              <w:t xml:space="preserve">敏感数据识别功能。</w:t>
            </w:r>
            <w:r>
              <w:rPr>
                <w:rFonts w:hint="eastAsia" w:cstheme="minorHAnsi"/>
                <w:b/>
                <w:bCs/>
                <w:sz w:val="20"/>
                <w:szCs w:val="20"/>
              </w:rPr>
              <w:t xml:space="preserve">（提供产品证明截图）</w:t>
            </w:r>
            <w:r/>
          </w:p>
        </w:tc>
      </w:tr>
      <w:tr>
        <w:trPr>
          <w:jc w:val="center"/>
          <w:trHeight w:val="90"/>
        </w:trPr>
        <w:tc>
          <w:tcPr>
            <w:tcBorders>
              <w:left w:val="single" w:color="auto" w:sz="6" w:space="0"/>
              <w:right w:val="single" w:color="auto" w:sz="6" w:space="0"/>
            </w:tcBorders>
            <w:tcW w:w="1691" w:type="dxa"/>
            <w:vAlign w:val="center"/>
            <w:vMerge w:val="continue"/>
            <w:textDirection w:val="lrTb"/>
            <w:noWrap w:val="false"/>
          </w:tcPr>
          <w:p>
            <w:pPr>
              <w:jc w:val="left"/>
              <w:rPr>
                <w:sz w:val="20"/>
                <w:szCs w:val="20"/>
              </w:rPr>
            </w:pPr>
            <w:r>
              <w:rPr>
                <w:sz w:val="20"/>
                <w:szCs w:val="20"/>
              </w:rPr>
            </w:r>
            <w:r/>
          </w:p>
        </w:tc>
        <w:tc>
          <w:tcPr>
            <w:tcBorders>
              <w:top w:val="single" w:color="auto" w:sz="8" w:space="0"/>
              <w:left w:val="single" w:color="auto" w:sz="6" w:space="0"/>
              <w:right w:val="single" w:color="auto" w:sz="8" w:space="0"/>
            </w:tcBorders>
            <w:tcW w:w="7371" w:type="dxa"/>
            <w:vAlign w:val="center"/>
            <w:textDirection w:val="lrTb"/>
            <w:noWrap w:val="false"/>
          </w:tcPr>
          <w:p>
            <w:pPr>
              <w:jc w:val="left"/>
              <w:rPr>
                <w:sz w:val="20"/>
                <w:szCs w:val="20"/>
              </w:rPr>
            </w:pPr>
            <w:r>
              <w:rPr>
                <w:rFonts w:hint="eastAsia" w:ascii="宋体" w:hAnsi="宋体"/>
                <w:b/>
                <w:sz w:val="20"/>
                <w:szCs w:val="20"/>
              </w:rPr>
              <w:t xml:space="preserve">▲</w:t>
            </w:r>
            <w:r>
              <w:rPr>
                <w:rFonts w:hint="eastAsia"/>
                <w:sz w:val="20"/>
                <w:szCs w:val="20"/>
              </w:rPr>
              <w:t xml:space="preserve">API</w:t>
            </w:r>
            <w:r>
              <w:rPr>
                <w:rFonts w:hint="eastAsia"/>
                <w:sz w:val="20"/>
                <w:szCs w:val="20"/>
              </w:rPr>
              <w:t xml:space="preserve">敏感数据识别支持多种响应动作，包含告警、全部替换、仅显示后四位、仅显示前四位、拦截等。</w:t>
            </w:r>
            <w:r>
              <w:rPr>
                <w:rFonts w:hint="eastAsia" w:cstheme="minorHAnsi"/>
                <w:b/>
                <w:bCs/>
                <w:sz w:val="20"/>
                <w:szCs w:val="20"/>
              </w:rPr>
              <w:t xml:space="preserve">（提供产品证明截图）</w:t>
            </w:r>
            <w:r/>
          </w:p>
        </w:tc>
      </w:tr>
      <w:tr>
        <w:trPr>
          <w:jc w:val="center"/>
          <w:trHeight w:val="90"/>
        </w:trPr>
        <w:tc>
          <w:tcPr>
            <w:tcBorders>
              <w:left w:val="single" w:color="auto" w:sz="6" w:space="0"/>
              <w:right w:val="single" w:color="auto" w:sz="6" w:space="0"/>
            </w:tcBorders>
            <w:tcW w:w="1691" w:type="dxa"/>
            <w:vAlign w:val="center"/>
            <w:vMerge w:val="restart"/>
            <w:textDirection w:val="lrTb"/>
            <w:noWrap w:val="false"/>
          </w:tcPr>
          <w:p>
            <w:pPr>
              <w:jc w:val="center"/>
              <w:rPr>
                <w:rFonts w:ascii="宋体" w:hAnsi="宋体"/>
                <w:b/>
                <w:bCs/>
                <w:sz w:val="20"/>
                <w:szCs w:val="20"/>
              </w:rPr>
            </w:pPr>
            <w:r>
              <w:rPr>
                <w:rFonts w:hint="eastAsia" w:ascii="宋体" w:hAnsi="宋体"/>
                <w:b/>
                <w:bCs/>
                <w:sz w:val="20"/>
                <w:szCs w:val="20"/>
              </w:rPr>
              <w:t xml:space="preserve">恶意代码检测功能</w:t>
            </w:r>
            <w:r/>
          </w:p>
        </w:tc>
        <w:tc>
          <w:tcPr>
            <w:tcBorders>
              <w:top w:val="single" w:color="auto" w:sz="4" w:space="0"/>
              <w:left w:val="single" w:color="auto" w:sz="6" w:space="0"/>
              <w:bottom w:val="single" w:color="auto" w:sz="4"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具备对文件感染型病毒、蠕虫病毒、脚本病毒、宏病毒、木马、恶意软件等过滤，具备双病毒引擎。</w:t>
            </w:r>
            <w:r/>
          </w:p>
        </w:tc>
      </w:tr>
      <w:tr>
        <w:trPr>
          <w:jc w:val="center"/>
          <w:trHeight w:val="775"/>
        </w:trPr>
        <w:tc>
          <w:tcPr>
            <w:tcBorders>
              <w:left w:val="single" w:color="auto" w:sz="6" w:space="0"/>
              <w:right w:val="single" w:color="auto" w:sz="6" w:space="0"/>
            </w:tcBorders>
            <w:tcW w:w="1691" w:type="dxa"/>
            <w:vAlign w:val="center"/>
            <w:vMerge w:val="continue"/>
            <w:textDirection w:val="lrTb"/>
            <w:noWrap w:val="false"/>
          </w:tcPr>
          <w:p>
            <w:pPr>
              <w:jc w:val="center"/>
              <w:rPr>
                <w:rFonts w:ascii="宋体" w:hAnsi="宋体"/>
                <w:b/>
                <w:sz w:val="20"/>
                <w:szCs w:val="20"/>
              </w:rPr>
            </w:pPr>
            <w:r>
              <w:rPr>
                <w:rFonts w:ascii="宋体" w:hAnsi="宋体"/>
                <w:b/>
                <w:sz w:val="20"/>
                <w:szCs w:val="20"/>
              </w:rPr>
            </w:r>
            <w:r/>
          </w:p>
        </w:tc>
        <w:tc>
          <w:tcPr>
            <w:tcBorders>
              <w:top w:val="single" w:color="auto" w:sz="4" w:space="0"/>
              <w:left w:val="single" w:color="auto" w:sz="6" w:space="0"/>
              <w:bottom w:val="single" w:color="auto" w:sz="4"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▲系统应支持可扩展未知C&amp;C通道（隐蔽通道）检测功能，能够提供C&amp;C通道的危险级别、连接建立时间、连接持续时间、控制端IP地址和端口、受控端IP地址和端口等C&amp;C通道信息。</w:t>
            </w:r>
            <w:r>
              <w:rPr>
                <w:rFonts w:hint="eastAsia" w:ascii="宋体" w:hAnsi="宋体" w:cs="宋体"/>
                <w:b/>
                <w:bCs/>
                <w:sz w:val="20"/>
                <w:szCs w:val="20"/>
              </w:rPr>
              <w:t xml:space="preserve">（提供具有CMA认证的检测机构出具的检测报告扫描件）</w:t>
            </w:r>
            <w:r/>
          </w:p>
        </w:tc>
      </w:tr>
      <w:tr>
        <w:trPr>
          <w:jc w:val="center"/>
          <w:trHeight w:val="439"/>
        </w:trPr>
        <w:tc>
          <w:tcPr>
            <w:tcBorders>
              <w:left w:val="single" w:color="auto" w:sz="6" w:space="0"/>
              <w:right w:val="single" w:color="auto" w:sz="6" w:space="0"/>
            </w:tcBorders>
            <w:tcW w:w="1691"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6" w:space="0"/>
              <w:bottom w:val="single" w:color="auto" w:sz="4"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系统除具备可扩展的本地恶意代码检测功能外，还应</w:t>
            </w:r>
            <w:r>
              <w:rPr>
                <w:rFonts w:hint="eastAsia" w:ascii="宋体" w:hAnsi="宋体"/>
                <w:sz w:val="20"/>
                <w:szCs w:val="20"/>
              </w:rPr>
              <w:t xml:space="preserve">具备云查杀</w:t>
            </w:r>
            <w:r>
              <w:rPr>
                <w:rFonts w:hint="eastAsia" w:ascii="宋体" w:hAnsi="宋体"/>
                <w:sz w:val="20"/>
                <w:szCs w:val="20"/>
              </w:rPr>
              <w:t xml:space="preserve">、云检测等防御机制。</w:t>
            </w:r>
            <w:r/>
          </w:p>
        </w:tc>
      </w:tr>
      <w:tr>
        <w:trPr>
          <w:jc w:val="center"/>
          <w:trHeight w:val="682"/>
        </w:trPr>
        <w:tc>
          <w:tcPr>
            <w:tcBorders>
              <w:top w:val="single" w:color="auto" w:sz="8" w:space="0"/>
              <w:left w:val="single" w:color="auto" w:sz="6" w:space="0"/>
              <w:bottom w:val="single" w:color="auto" w:sz="6" w:space="0"/>
              <w:right w:val="single" w:color="auto" w:sz="6" w:space="0"/>
            </w:tcBorders>
            <w:tcW w:w="1691" w:type="dxa"/>
            <w:vAlign w:val="center"/>
            <w:vMerge w:val="restart"/>
            <w:textDirection w:val="lrTb"/>
            <w:noWrap w:val="false"/>
          </w:tcPr>
          <w:p>
            <w:pPr>
              <w:jc w:val="center"/>
              <w:rPr>
                <w:rFonts w:ascii="宋体" w:hAnsi="宋体"/>
                <w:b/>
                <w:bCs/>
                <w:sz w:val="20"/>
                <w:szCs w:val="20"/>
              </w:rPr>
            </w:pPr>
            <w:r>
              <w:rPr>
                <w:rFonts w:hint="eastAsia" w:ascii="宋体" w:hAnsi="宋体"/>
                <w:b/>
                <w:bCs/>
                <w:sz w:val="20"/>
                <w:szCs w:val="20"/>
              </w:rPr>
              <w:t xml:space="preserve">内容防护</w:t>
            </w:r>
            <w:r/>
          </w:p>
        </w:tc>
        <w:tc>
          <w:tcPr>
            <w:tcBorders>
              <w:top w:val="single" w:color="auto" w:sz="4" w:space="0"/>
              <w:left w:val="single" w:color="auto" w:sz="6" w:space="0"/>
              <w:bottom w:val="single" w:color="auto" w:sz="6"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▲产品具有基于信誉的僵尸网络防护能力，通过信誉库内的恶意网站IP、C&amp;C服务器地址的信誉</w:t>
            </w:r>
            <w:r>
              <w:rPr>
                <w:rFonts w:hint="eastAsia" w:ascii="宋体" w:hAnsi="宋体"/>
                <w:sz w:val="20"/>
                <w:szCs w:val="20"/>
              </w:rPr>
              <w:t xml:space="preserve">值执行</w:t>
            </w:r>
            <w:r>
              <w:rPr>
                <w:rFonts w:hint="eastAsia" w:ascii="宋体" w:hAnsi="宋体"/>
                <w:sz w:val="20"/>
                <w:szCs w:val="20"/>
              </w:rPr>
              <w:t xml:space="preserve">相应的防护动作、信誉库可以升级。</w:t>
            </w:r>
            <w:r>
              <w:rPr>
                <w:rFonts w:hint="eastAsia" w:ascii="宋体" w:hAnsi="宋体" w:cs="宋体"/>
                <w:b/>
                <w:bCs/>
                <w:sz w:val="20"/>
                <w:szCs w:val="20"/>
              </w:rPr>
              <w:t xml:space="preserve">（提供具有CMA认证的检测机构出具的检测报告扫描件）</w:t>
            </w:r>
            <w:r/>
          </w:p>
        </w:tc>
      </w:tr>
      <w:tr>
        <w:trPr>
          <w:jc w:val="center"/>
          <w:trHeight w:val="90"/>
        </w:trPr>
        <w:tc>
          <w:tcPr>
            <w:tcBorders>
              <w:left w:val="single" w:color="auto" w:sz="6" w:space="0"/>
              <w:bottom w:val="single" w:color="auto" w:sz="6" w:space="0"/>
              <w:right w:val="single" w:color="auto" w:sz="6" w:space="0"/>
            </w:tcBorders>
            <w:tcW w:w="1691" w:type="dxa"/>
            <w:vAlign w:val="center"/>
            <w:vMerge w:val="continue"/>
            <w:textDirection w:val="lrTb"/>
            <w:noWrap w:val="false"/>
          </w:tcPr>
          <w:p>
            <w:pPr>
              <w:jc w:val="center"/>
              <w:rPr>
                <w:rFonts w:ascii="宋体" w:hAnsi="宋体"/>
                <w:b/>
                <w:sz w:val="20"/>
                <w:szCs w:val="20"/>
              </w:rPr>
            </w:pPr>
            <w:r>
              <w:rPr>
                <w:rFonts w:ascii="宋体" w:hAnsi="宋体"/>
                <w:b/>
                <w:sz w:val="20"/>
                <w:szCs w:val="20"/>
              </w:rPr>
            </w:r>
            <w:r/>
          </w:p>
        </w:tc>
        <w:tc>
          <w:tcPr>
            <w:tcBorders>
              <w:top w:val="single" w:color="auto" w:sz="4" w:space="0"/>
              <w:left w:val="single" w:color="auto" w:sz="6" w:space="0"/>
              <w:bottom w:val="single" w:color="auto" w:sz="6"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产品具有敏感信息防护功能，识别信息和文件中的关键字、包括财务数据、机密文档、技术文档、简历、身份证号码、手机号码、银行卡、IP地址、微信号、政治敏感等敏感信息，支持自定义关键字，支持文件指纹功能。</w:t>
            </w:r>
            <w:r>
              <w:rPr>
                <w:rFonts w:hint="eastAsia" w:ascii="宋体" w:hAnsi="宋体" w:cs="宋体"/>
                <w:b/>
                <w:bCs/>
                <w:sz w:val="20"/>
                <w:szCs w:val="20"/>
              </w:rPr>
              <w:t xml:space="preserve">（提供具有CMA认证的检测机构出具的检测报告扫描件）</w:t>
            </w:r>
            <w:r/>
          </w:p>
        </w:tc>
      </w:tr>
      <w:tr>
        <w:trPr>
          <w:jc w:val="center"/>
          <w:trHeight w:val="382"/>
        </w:trPr>
        <w:tc>
          <w:tcPr>
            <w:tcBorders>
              <w:left w:val="single" w:color="auto" w:sz="6" w:space="0"/>
              <w:bottom w:val="single" w:color="auto" w:sz="6" w:space="0"/>
              <w:right w:val="single" w:color="auto" w:sz="6" w:space="0"/>
            </w:tcBorders>
            <w:tcW w:w="1691"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6" w:space="0"/>
              <w:bottom w:val="single" w:color="auto" w:sz="6"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系统应支持邮件内容过滤功能，有效防止恶意邮件及信息外泄。可根据邮件SMTP命令、发件人、主题、附件、IP及邮件大小进行过滤。</w:t>
            </w:r>
            <w:r>
              <w:rPr>
                <w:rFonts w:hint="eastAsia" w:ascii="宋体" w:hAnsi="宋体" w:cs="Dialog"/>
                <w:sz w:val="20"/>
                <w:szCs w:val="20"/>
              </w:rPr>
              <w:t xml:space="preserve">(提供功能截图)</w:t>
            </w:r>
            <w:r/>
          </w:p>
        </w:tc>
      </w:tr>
      <w:tr>
        <w:trPr>
          <w:jc w:val="center"/>
          <w:trHeight w:val="382"/>
        </w:trPr>
        <w:tc>
          <w:tcPr>
            <w:tcBorders>
              <w:left w:val="single" w:color="auto" w:sz="6" w:space="0"/>
              <w:bottom w:val="single" w:color="auto" w:sz="6" w:space="0"/>
              <w:right w:val="single" w:color="auto" w:sz="6" w:space="0"/>
            </w:tcBorders>
            <w:tcW w:w="1691"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6" w:space="0"/>
              <w:bottom w:val="single" w:color="auto" w:sz="6" w:space="0"/>
              <w:right w:val="single" w:color="auto" w:sz="8" w:space="0"/>
            </w:tcBorders>
            <w:tcW w:w="7371" w:type="dxa"/>
            <w:vAlign w:val="center"/>
            <w:textDirection w:val="lrTb"/>
            <w:noWrap w:val="false"/>
          </w:tcPr>
          <w:p>
            <w:pPr>
              <w:jc w:val="left"/>
              <w:rPr>
                <w:rFonts w:ascii="宋体" w:hAnsi="宋体"/>
                <w:sz w:val="20"/>
                <w:szCs w:val="20"/>
              </w:rPr>
            </w:pPr>
            <w:r>
              <w:rPr>
                <w:rFonts w:hint="eastAsia" w:ascii="宋体" w:hAnsi="宋体"/>
                <w:b/>
                <w:sz w:val="20"/>
                <w:szCs w:val="20"/>
              </w:rPr>
              <w:t xml:space="preserve">▲</w:t>
            </w:r>
            <w:r>
              <w:rPr>
                <w:rFonts w:hint="eastAsia"/>
                <w:sz w:val="20"/>
                <w:szCs w:val="20"/>
              </w:rPr>
              <w:t xml:space="preserve">支持对</w:t>
            </w:r>
            <w:r>
              <w:rPr>
                <w:rFonts w:hint="eastAsia"/>
                <w:sz w:val="20"/>
                <w:szCs w:val="20"/>
              </w:rPr>
              <w:t xml:space="preserve">API</w:t>
            </w:r>
            <w:r>
              <w:rPr>
                <w:rFonts w:hint="eastAsia"/>
                <w:sz w:val="20"/>
                <w:szCs w:val="20"/>
              </w:rPr>
              <w:t xml:space="preserve">接口数据进行脱敏，默认脱敏数据类别不少于</w:t>
            </w:r>
            <w:r>
              <w:rPr>
                <w:rFonts w:hint="eastAsia"/>
                <w:sz w:val="20"/>
                <w:szCs w:val="20"/>
              </w:rPr>
              <w:t xml:space="preserve">36</w:t>
            </w:r>
            <w:r>
              <w:rPr>
                <w:rFonts w:hint="eastAsia"/>
                <w:sz w:val="20"/>
                <w:szCs w:val="20"/>
              </w:rPr>
              <w:t xml:space="preserve">种，可自行选择脱敏算法。</w:t>
            </w:r>
            <w:r>
              <w:rPr>
                <w:rFonts w:hint="eastAsia" w:cstheme="minorHAnsi"/>
                <w:b/>
                <w:bCs/>
                <w:sz w:val="20"/>
                <w:szCs w:val="20"/>
              </w:rPr>
              <w:t xml:space="preserve">（提供产品证明截图）</w:t>
            </w:r>
            <w:r/>
          </w:p>
        </w:tc>
      </w:tr>
      <w:tr>
        <w:trPr>
          <w:jc w:val="center"/>
          <w:trHeight w:val="126"/>
        </w:trPr>
        <w:tc>
          <w:tcPr>
            <w:tcBorders>
              <w:top w:val="single" w:color="auto" w:sz="6" w:space="0"/>
              <w:left w:val="single" w:color="auto" w:sz="6" w:space="0"/>
              <w:right w:val="single" w:color="auto" w:sz="6" w:space="0"/>
            </w:tcBorders>
            <w:tcW w:w="1691" w:type="dxa"/>
            <w:vAlign w:val="center"/>
            <w:textDirection w:val="lrTb"/>
            <w:noWrap w:val="false"/>
          </w:tcPr>
          <w:p>
            <w:pPr>
              <w:jc w:val="center"/>
              <w:rPr>
                <w:rFonts w:ascii="宋体" w:hAnsi="宋体"/>
                <w:b/>
                <w:bCs/>
                <w:sz w:val="20"/>
                <w:szCs w:val="20"/>
              </w:rPr>
            </w:pPr>
            <w:r>
              <w:rPr>
                <w:rFonts w:hint="eastAsia" w:ascii="宋体" w:hAnsi="宋体"/>
                <w:b/>
                <w:bCs/>
                <w:sz w:val="20"/>
                <w:szCs w:val="20"/>
              </w:rPr>
              <w:t xml:space="preserve">管理功能</w:t>
            </w:r>
            <w:r/>
          </w:p>
        </w:tc>
        <w:tc>
          <w:tcPr>
            <w:tcBorders>
              <w:top w:val="single" w:color="auto" w:sz="6" w:space="0"/>
              <w:left w:val="single" w:color="auto" w:sz="6" w:space="0"/>
              <w:bottom w:val="single" w:color="auto" w:sz="4"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系统应支持WEB登录图像验证码功能，防止暴力破解。</w:t>
            </w:r>
            <w:r>
              <w:rPr>
                <w:rFonts w:hint="eastAsia" w:ascii="宋体" w:hAnsi="宋体"/>
                <w:spacing w:val="9"/>
                <w:sz w:val="20"/>
                <w:szCs w:val="20"/>
              </w:rPr>
              <w:t xml:space="preserve">同时支持基于动态口令卡的双因子认证，增强配置管理的安全性。</w:t>
            </w:r>
            <w:r>
              <w:rPr>
                <w:rFonts w:hint="eastAsia" w:ascii="宋体" w:hAnsi="宋体" w:cs="宋体"/>
                <w:b/>
                <w:bCs/>
                <w:sz w:val="20"/>
                <w:szCs w:val="20"/>
              </w:rPr>
              <w:t xml:space="preserve">（提供产品功能截图）</w:t>
            </w:r>
            <w:r/>
          </w:p>
        </w:tc>
      </w:tr>
      <w:tr>
        <w:trPr>
          <w:jc w:val="center"/>
          <w:trHeight w:val="359"/>
        </w:trPr>
        <w:tc>
          <w:tcPr>
            <w:tcBorders>
              <w:left w:val="single" w:color="auto" w:sz="6" w:space="0"/>
              <w:right w:val="single" w:color="auto" w:sz="6" w:space="0"/>
            </w:tcBorders>
            <w:tcW w:w="1691" w:type="dxa"/>
            <w:vAlign w:val="center"/>
            <w:vMerge w:val="restart"/>
            <w:textDirection w:val="lrTb"/>
            <w:noWrap w:val="false"/>
          </w:tcPr>
          <w:p>
            <w:pPr>
              <w:jc w:val="center"/>
              <w:rPr>
                <w:rFonts w:ascii="宋体" w:hAnsi="宋体"/>
                <w:b/>
                <w:sz w:val="20"/>
                <w:szCs w:val="20"/>
              </w:rPr>
            </w:pPr>
            <w:r>
              <w:rPr>
                <w:rFonts w:hint="eastAsia" w:ascii="宋体" w:hAnsi="宋体"/>
                <w:b/>
                <w:sz w:val="20"/>
                <w:szCs w:val="20"/>
              </w:rPr>
              <w:t xml:space="preserve">产品资质</w:t>
            </w:r>
            <w:r/>
          </w:p>
        </w:tc>
        <w:tc>
          <w:tcPr>
            <w:tcBorders>
              <w:top w:val="single" w:color="auto" w:sz="4" w:space="0"/>
              <w:left w:val="single" w:color="auto" w:sz="6" w:space="0"/>
              <w:bottom w:val="single" w:color="auto" w:sz="4"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▲产品需具有防雷击功能，必须</w:t>
            </w:r>
            <w:r>
              <w:rPr>
                <w:rFonts w:hint="eastAsia" w:ascii="宋体" w:hAnsi="宋体"/>
                <w:b/>
                <w:bCs/>
                <w:sz w:val="20"/>
                <w:szCs w:val="20"/>
              </w:rPr>
              <w:t xml:space="preserve">通过国家无线电监测中心检测中心浪涌（冲击）抗扰度测试、雷击抗扰度测试，提供测试报告扫描件加盖原厂公章</w:t>
            </w:r>
            <w:r/>
          </w:p>
        </w:tc>
      </w:tr>
      <w:tr>
        <w:trPr>
          <w:jc w:val="center"/>
          <w:trHeight w:val="228"/>
        </w:trPr>
        <w:tc>
          <w:tcPr>
            <w:tcBorders>
              <w:left w:val="single" w:color="auto" w:sz="6" w:space="0"/>
              <w:right w:val="single" w:color="auto" w:sz="6" w:space="0"/>
            </w:tcBorders>
            <w:tcW w:w="1691" w:type="dxa"/>
            <w:vAlign w:val="center"/>
            <w:vMerge w:val="continue"/>
            <w:textDirection w:val="lrTb"/>
            <w:noWrap w:val="false"/>
          </w:tcPr>
          <w:p>
            <w:pPr>
              <w:jc w:val="center"/>
              <w:rPr>
                <w:rFonts w:ascii="宋体" w:hAnsi="宋体"/>
                <w:b/>
                <w:sz w:val="20"/>
                <w:szCs w:val="20"/>
              </w:rPr>
            </w:pPr>
            <w:r>
              <w:rPr>
                <w:rFonts w:ascii="宋体" w:hAnsi="宋体"/>
                <w:b/>
                <w:sz w:val="20"/>
                <w:szCs w:val="20"/>
              </w:rPr>
            </w:r>
            <w:r/>
          </w:p>
        </w:tc>
        <w:tc>
          <w:tcPr>
            <w:tcBorders>
              <w:top w:val="single" w:color="auto" w:sz="4" w:space="0"/>
              <w:left w:val="single" w:color="auto" w:sz="6" w:space="0"/>
              <w:bottom w:val="single" w:color="auto" w:sz="4" w:space="0"/>
              <w:right w:val="single" w:color="auto" w:sz="8" w:space="0"/>
            </w:tcBorders>
            <w:tcW w:w="7371" w:type="dxa"/>
            <w:vAlign w:val="center"/>
            <w:textDirection w:val="lrTb"/>
            <w:noWrap w:val="false"/>
          </w:tcPr>
          <w:p>
            <w:pPr>
              <w:rPr>
                <w:rFonts w:ascii="宋体" w:hAnsi="宋体"/>
                <w:sz w:val="20"/>
                <w:szCs w:val="20"/>
              </w:rPr>
            </w:pPr>
            <w:r>
              <w:rPr>
                <w:rFonts w:hint="eastAsia" w:ascii="宋体" w:hAnsi="宋体"/>
                <w:sz w:val="20"/>
                <w:szCs w:val="20"/>
              </w:rPr>
              <w:t xml:space="preserve">产品具有中国网络安全审查技术与认证中心颁发的《网络关键设备和网络安全专用产品安全认证证书》</w:t>
            </w:r>
            <w:r/>
          </w:p>
        </w:tc>
      </w:tr>
    </w:tbl>
    <w:p>
      <w:pPr>
        <w:rPr>
          <w:rFonts w:ascii="宋体" w:hAnsi="宋体"/>
          <w:b/>
          <w:bCs/>
          <w:sz w:val="20"/>
          <w:szCs w:val="20"/>
        </w:rPr>
      </w:pPr>
      <w:r>
        <w:rPr>
          <w:rFonts w:hint="eastAsia" w:ascii="宋体" w:hAnsi="宋体"/>
          <w:b/>
          <w:bCs/>
          <w:sz w:val="20"/>
          <w:szCs w:val="20"/>
        </w:rPr>
        <w:br w:type="page" w:clear="all"/>
      </w:r>
      <w:r/>
    </w:p>
    <w:p>
      <w:pPr>
        <w:spacing w:line="480" w:lineRule="auto"/>
        <w:tabs>
          <w:tab w:val="left" w:pos="1710" w:leader="none"/>
        </w:tabs>
        <w:rPr>
          <w:rFonts w:ascii="宋体" w:hAnsi="宋体"/>
          <w:b/>
          <w:bCs/>
          <w:sz w:val="20"/>
          <w:szCs w:val="20"/>
        </w:rPr>
      </w:pPr>
      <w:r>
        <w:rPr>
          <w:rFonts w:hint="eastAsia" w:ascii="宋体" w:hAnsi="宋体"/>
          <w:b/>
          <w:bCs/>
          <w:sz w:val="20"/>
          <w:szCs w:val="20"/>
        </w:rPr>
        <w:t xml:space="preserve">3）堡垒机</w:t>
      </w:r>
      <w:r/>
    </w:p>
    <w:tbl>
      <w:tblPr>
        <w:tblW w:w="8583" w:type="dxa"/>
        <w:tblInd w:w="474" w:type="dxa"/>
        <w:tblLayout w:type="fixed"/>
        <w:tblLook w:val="04A0" w:firstRow="1" w:lastRow="0" w:firstColumn="1" w:lastColumn="0" w:noHBand="0" w:noVBand="1"/>
      </w:tblPr>
      <w:tblGrid>
        <w:gridCol w:w="1649"/>
        <w:gridCol w:w="6934"/>
      </w:tblGrid>
      <w:tr>
        <w:trPr>
          <w:trHeight w:val="427"/>
        </w:trPr>
        <w:tc>
          <w:tcPr>
            <w:tcBorders>
              <w:top w:val="single" w:color="000000" w:sz="12" w:space="0"/>
              <w:left w:val="single" w:color="000000" w:sz="12" w:space="0"/>
              <w:bottom w:val="single" w:color="000000" w:sz="6" w:space="0"/>
              <w:right w:val="single" w:color="000000" w:sz="6" w:space="0"/>
            </w:tcBorders>
            <w:tcW w:w="1649" w:type="dxa"/>
            <w:vAlign w:val="center"/>
            <w:textDirection w:val="lrTb"/>
            <w:noWrap w:val="false"/>
          </w:tcPr>
          <w:p>
            <w:pPr>
              <w:jc w:val="center"/>
              <w:rPr>
                <w:b/>
                <w:sz w:val="18"/>
                <w:szCs w:val="18"/>
              </w:rPr>
            </w:pPr>
            <w:r>
              <w:rPr>
                <w:rFonts w:hint="eastAsia" w:ascii="宋体" w:hAnsi="宋体" w:cs="宋体"/>
                <w:b/>
                <w:sz w:val="18"/>
                <w:szCs w:val="18"/>
              </w:rPr>
              <w:t xml:space="preserve">指标项</w:t>
            </w:r>
            <w:r/>
          </w:p>
        </w:tc>
        <w:tc>
          <w:tcPr>
            <w:tcBorders>
              <w:top w:val="single" w:color="000000" w:sz="12" w:space="0"/>
              <w:left w:val="single" w:color="000000" w:sz="6" w:space="0"/>
              <w:bottom w:val="single" w:color="000000" w:sz="6" w:space="0"/>
              <w:right w:val="single" w:color="000000" w:sz="12" w:space="0"/>
            </w:tcBorders>
            <w:tcW w:w="6934" w:type="dxa"/>
            <w:vAlign w:val="center"/>
            <w:textDirection w:val="lrTb"/>
            <w:noWrap w:val="false"/>
          </w:tcPr>
          <w:p>
            <w:pPr>
              <w:jc w:val="center"/>
              <w:rPr>
                <w:b/>
                <w:sz w:val="18"/>
                <w:szCs w:val="18"/>
              </w:rPr>
            </w:pPr>
            <w:r>
              <w:rPr>
                <w:rFonts w:hint="eastAsia" w:ascii="宋体" w:hAnsi="宋体" w:cs="宋体"/>
                <w:b/>
                <w:sz w:val="18"/>
                <w:szCs w:val="18"/>
              </w:rPr>
              <w:t xml:space="preserve">描述</w:t>
            </w:r>
            <w:r/>
          </w:p>
        </w:tc>
      </w:tr>
      <w:tr>
        <w:trPr>
          <w:trHeight w:val="929"/>
        </w:trPr>
        <w:tc>
          <w:tcPr>
            <w:tcBorders>
              <w:top w:val="single" w:color="000000" w:sz="6" w:space="0"/>
              <w:left w:val="single" w:color="000000" w:sz="12" w:space="0"/>
              <w:bottom w:val="single" w:color="000000" w:sz="6" w:space="0"/>
              <w:right w:val="single" w:color="000000" w:sz="6" w:space="0"/>
            </w:tcBorders>
            <w:tcW w:w="1649" w:type="dxa"/>
            <w:vAlign w:val="center"/>
            <w:textDirection w:val="lrTb"/>
            <w:noWrap w:val="false"/>
          </w:tcPr>
          <w:p>
            <w:pPr>
              <w:jc w:val="center"/>
              <w:rPr>
                <w:rFonts w:ascii="宋体" w:hAnsi="宋体"/>
                <w:b/>
                <w:sz w:val="18"/>
                <w:szCs w:val="18"/>
              </w:rPr>
            </w:pPr>
            <w:r>
              <w:rPr>
                <w:rFonts w:hint="eastAsia" w:ascii="宋体" w:hAnsi="宋体" w:cs="宋体"/>
                <w:b/>
                <w:sz w:val="18"/>
                <w:szCs w:val="18"/>
              </w:rPr>
              <w:t xml:space="preserve">硬件要求</w:t>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ascii="宋体" w:hAnsi="宋体"/>
                <w:sz w:val="18"/>
                <w:szCs w:val="18"/>
              </w:rPr>
            </w:pPr>
            <w:r>
              <w:rPr>
                <w:rFonts w:hint="eastAsia" w:ascii="宋体" w:hAnsi="宋体"/>
                <w:b/>
                <w:sz w:val="18"/>
                <w:szCs w:val="18"/>
              </w:rPr>
              <w:t xml:space="preserve">▲</w:t>
            </w:r>
            <w:r>
              <w:rPr>
                <w:rFonts w:hint="eastAsia" w:ascii="宋体" w:hAnsi="宋体"/>
                <w:sz w:val="18"/>
                <w:szCs w:val="18"/>
              </w:rPr>
              <w:t xml:space="preserve">标准机架式设备，国产化软硬件平台，设备配置≥6个千兆自适应电口，≥4个千兆SFP</w:t>
            </w:r>
            <w:r>
              <w:rPr>
                <w:rFonts w:hint="eastAsia" w:ascii="宋体" w:hAnsi="宋体"/>
                <w:sz w:val="18"/>
                <w:szCs w:val="18"/>
              </w:rPr>
              <w:t xml:space="preserve">光口插槽</w:t>
            </w:r>
            <w:r>
              <w:rPr>
                <w:rFonts w:hint="eastAsia" w:ascii="宋体" w:hAnsi="宋体"/>
                <w:sz w:val="18"/>
                <w:szCs w:val="18"/>
              </w:rPr>
              <w:t xml:space="preserve">，2个USB接口，1个RJ45 Console口；硬盘存储容量≥2T；字符并发≥800，图形并发≥200，此次配置50个设备接入授权，三年硬件质保和技术支持服务。</w:t>
            </w:r>
            <w:r/>
          </w:p>
        </w:tc>
      </w:tr>
      <w:tr>
        <w:trPr>
          <w:trHeight w:val="427"/>
        </w:trPr>
        <w:tc>
          <w:tcPr>
            <w:tcBorders>
              <w:top w:val="single" w:color="000000" w:sz="6" w:space="0"/>
              <w:left w:val="single" w:color="000000" w:sz="12" w:space="0"/>
              <w:bottom w:val="single" w:color="000000" w:sz="6" w:space="0"/>
              <w:right w:val="single" w:color="000000" w:sz="6" w:space="0"/>
            </w:tcBorders>
            <w:tcW w:w="1649"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三权分立</w:t>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ascii="宋体" w:hAnsi="宋体"/>
                <w:sz w:val="18"/>
                <w:szCs w:val="18"/>
              </w:rPr>
            </w:pPr>
            <w:r>
              <w:rPr>
                <w:rFonts w:hint="eastAsia" w:ascii="宋体" w:hAnsi="宋体"/>
                <w:sz w:val="18"/>
                <w:szCs w:val="18"/>
              </w:rPr>
              <w:t xml:space="preserve">系统内置系统管理员、审计管理员、安全管理员三种角色，系统管理员可针对不同用户指定不同的管理权限，可设定用户（组）和资源（组）的管理范围;</w:t>
            </w:r>
            <w:r/>
          </w:p>
        </w:tc>
      </w:tr>
      <w:tr>
        <w:trPr>
          <w:trHeight w:val="653"/>
        </w:trPr>
        <w:tc>
          <w:tcPr>
            <w:tcBorders>
              <w:top w:val="single" w:color="000000" w:sz="6" w:space="0"/>
              <w:left w:val="single" w:color="000000" w:sz="12" w:space="0"/>
              <w:bottom w:val="single" w:color="000000" w:sz="6" w:space="0"/>
              <w:right w:val="single" w:color="000000" w:sz="6" w:space="0"/>
            </w:tcBorders>
            <w:tcW w:w="1649"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分权管理</w:t>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ascii="宋体" w:hAnsi="宋体"/>
                <w:sz w:val="18"/>
                <w:szCs w:val="18"/>
              </w:rPr>
            </w:pPr>
            <w:r>
              <w:rPr>
                <w:rFonts w:hint="eastAsia" w:ascii="宋体" w:hAnsi="宋体"/>
                <w:sz w:val="18"/>
                <w:szCs w:val="18"/>
              </w:rPr>
              <w:t xml:space="preserve">支持基于角色进行授权访问控制RBAC，包括系统管理员根据不同角色进行管理工作、运</w:t>
            </w:r>
            <w:r>
              <w:rPr>
                <w:rFonts w:hint="eastAsia" w:ascii="宋体" w:hAnsi="宋体"/>
                <w:sz w:val="18"/>
                <w:szCs w:val="18"/>
              </w:rPr>
              <w:t xml:space="preserve">维人员</w:t>
            </w:r>
            <w:r>
              <w:rPr>
                <w:rFonts w:hint="eastAsia" w:ascii="宋体" w:hAnsi="宋体"/>
                <w:sz w:val="18"/>
                <w:szCs w:val="18"/>
              </w:rPr>
              <w:t xml:space="preserve">根据不同角色进行运</w:t>
            </w:r>
            <w:r>
              <w:rPr>
                <w:rFonts w:hint="eastAsia" w:ascii="宋体" w:hAnsi="宋体"/>
                <w:sz w:val="18"/>
                <w:szCs w:val="18"/>
              </w:rPr>
              <w:t xml:space="preserve">维工作</w:t>
            </w:r>
            <w:r>
              <w:rPr>
                <w:rFonts w:hint="eastAsia" w:ascii="宋体" w:hAnsi="宋体"/>
                <w:sz w:val="18"/>
                <w:szCs w:val="18"/>
              </w:rPr>
              <w:t xml:space="preserve">;</w:t>
            </w:r>
            <w:r/>
          </w:p>
        </w:tc>
      </w:tr>
      <w:tr>
        <w:trPr>
          <w:trHeight w:val="653"/>
        </w:trPr>
        <w:tc>
          <w:tcPr>
            <w:tcBorders>
              <w:top w:val="single" w:color="000000" w:sz="6" w:space="0"/>
              <w:left w:val="single" w:color="000000" w:sz="12" w:space="0"/>
              <w:bottom w:val="single" w:color="000000" w:sz="6" w:space="0"/>
              <w:right w:val="single" w:color="000000" w:sz="6" w:space="0"/>
            </w:tcBorders>
            <w:tcW w:w="1649"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审计协议</w:t>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ascii="宋体" w:hAnsi="宋体"/>
                <w:sz w:val="18"/>
                <w:szCs w:val="18"/>
              </w:rPr>
            </w:pPr>
            <w:r>
              <w:rPr>
                <w:rFonts w:hint="eastAsia" w:ascii="宋体" w:hAnsi="宋体"/>
                <w:sz w:val="18"/>
                <w:szCs w:val="18"/>
              </w:rPr>
              <w:t xml:space="preserve">实现数据库命令级审计，支持字符协议SSH、TELNET和文件传输协议FTP、SFTP的协议审计，支持RDP、VNC图形操作行为的审计；</w:t>
            </w:r>
            <w:r/>
          </w:p>
        </w:tc>
      </w:tr>
      <w:tr>
        <w:trPr>
          <w:trHeight w:val="654"/>
        </w:trPr>
        <w:tc>
          <w:tcPr>
            <w:tcBorders>
              <w:top w:val="single" w:color="000000" w:sz="6" w:space="0"/>
              <w:left w:val="single" w:color="000000" w:sz="12" w:space="0"/>
              <w:bottom w:val="single" w:color="000000" w:sz="6" w:space="0"/>
              <w:right w:val="single" w:color="000000" w:sz="6" w:space="0"/>
            </w:tcBorders>
            <w:tcW w:w="1649"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身份认证</w:t>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ascii="宋体" w:hAnsi="宋体"/>
                <w:sz w:val="18"/>
                <w:szCs w:val="18"/>
              </w:rPr>
            </w:pPr>
            <w:r>
              <w:rPr>
                <w:rFonts w:hint="eastAsia" w:ascii="宋体" w:hAnsi="宋体"/>
                <w:b/>
                <w:sz w:val="18"/>
                <w:szCs w:val="18"/>
              </w:rPr>
              <w:t xml:space="preserve">▲</w:t>
            </w:r>
            <w:r>
              <w:rPr>
                <w:rFonts w:hint="eastAsia" w:ascii="宋体" w:hAnsi="宋体"/>
                <w:sz w:val="18"/>
                <w:szCs w:val="18"/>
              </w:rPr>
              <w:t xml:space="preserve">支持以下身份认证方式：基本认证：本地</w:t>
            </w:r>
            <w:r>
              <w:rPr>
                <w:rFonts w:hint="eastAsia" w:ascii="宋体" w:hAnsi="宋体"/>
                <w:sz w:val="18"/>
                <w:szCs w:val="18"/>
              </w:rPr>
              <w:t xml:space="preserve">帐号</w:t>
            </w:r>
            <w:r>
              <w:rPr>
                <w:rFonts w:hint="eastAsia" w:ascii="宋体" w:hAnsi="宋体"/>
                <w:sz w:val="18"/>
                <w:szCs w:val="18"/>
              </w:rPr>
              <w:t xml:space="preserve">+密码认证支持内置USB-KEY认证、国密USB-KEY认证、动态口令认证、国密动态口令认证、手机令牌认证、http通用认证、webservice通用认证、google令牌认证，无须额外增加认证服务器，支持集成其它外部认证协议：Windows AD、RADIUS、LDAP、短信、北京CA、吉大正元、移动超级SIM认证、邮件认证等第三方认证，支持自定义登陆运</w:t>
            </w:r>
            <w:r>
              <w:rPr>
                <w:rFonts w:hint="eastAsia" w:ascii="宋体" w:hAnsi="宋体"/>
                <w:sz w:val="18"/>
                <w:szCs w:val="18"/>
              </w:rPr>
              <w:t xml:space="preserve">维安全</w:t>
            </w:r>
            <w:r>
              <w:rPr>
                <w:rFonts w:hint="eastAsia" w:ascii="宋体" w:hAnsi="宋体"/>
                <w:sz w:val="18"/>
                <w:szCs w:val="18"/>
              </w:rPr>
              <w:t xml:space="preserve">网关默认认证方式。</w:t>
            </w:r>
            <w:r>
              <w:rPr>
                <w:rFonts w:hint="eastAsia" w:ascii="宋体" w:hAnsi="宋体" w:cs="宋体"/>
                <w:b/>
                <w:bCs/>
                <w:sz w:val="20"/>
                <w:szCs w:val="20"/>
              </w:rPr>
              <w:t xml:space="preserve">（提供具有CMA认证的检测机构出具的检测报告扫描件）</w:t>
            </w:r>
            <w:r/>
          </w:p>
        </w:tc>
      </w:tr>
      <w:tr>
        <w:trPr>
          <w:trHeight w:val="426"/>
        </w:trPr>
        <w:tc>
          <w:tcPr>
            <w:tcBorders>
              <w:top w:val="single" w:color="000000" w:sz="6" w:space="0"/>
              <w:left w:val="single" w:color="000000" w:sz="12" w:space="0"/>
              <w:bottom w:val="single" w:color="000000" w:sz="6" w:space="0"/>
              <w:right w:val="single" w:color="000000" w:sz="6" w:space="0"/>
            </w:tcBorders>
            <w:tcW w:w="1649"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协议扩展</w:t>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ascii="宋体" w:hAnsi="宋体"/>
                <w:sz w:val="18"/>
                <w:szCs w:val="18"/>
              </w:rPr>
            </w:pPr>
            <w:r>
              <w:rPr>
                <w:rFonts w:hint="eastAsia" w:ascii="宋体" w:hAnsi="宋体"/>
                <w:sz w:val="18"/>
                <w:szCs w:val="18"/>
              </w:rPr>
              <w:t xml:space="preserve">支持通过应用发布进行协议扩展，支持http/https协议、X11协议、VMware vSphere Client、Radmin等第三方客户端工具，并支持模拟</w:t>
            </w:r>
            <w:r>
              <w:rPr>
                <w:rFonts w:hint="eastAsia" w:ascii="宋体" w:hAnsi="宋体"/>
                <w:sz w:val="18"/>
                <w:szCs w:val="18"/>
              </w:rPr>
              <w:t xml:space="preserve">帐号</w:t>
            </w:r>
            <w:r>
              <w:rPr>
                <w:rFonts w:hint="eastAsia" w:ascii="宋体" w:hAnsi="宋体"/>
                <w:sz w:val="18"/>
                <w:szCs w:val="18"/>
              </w:rPr>
              <w:t xml:space="preserve">密码代填登录；</w:t>
            </w:r>
            <w:r/>
          </w:p>
        </w:tc>
      </w:tr>
      <w:tr>
        <w:trPr>
          <w:trHeight w:val="426"/>
        </w:trPr>
        <w:tc>
          <w:tcPr>
            <w:tcBorders>
              <w:top w:val="single" w:color="000000" w:sz="6" w:space="0"/>
              <w:left w:val="single" w:color="000000" w:sz="12" w:space="0"/>
              <w:bottom w:val="single" w:color="000000" w:sz="6" w:space="0"/>
              <w:right w:val="single" w:color="000000" w:sz="6" w:space="0"/>
            </w:tcBorders>
            <w:tcW w:w="1649"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双重审计</w:t>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ascii="宋体" w:hAnsi="宋体"/>
                <w:sz w:val="18"/>
                <w:szCs w:val="18"/>
              </w:rPr>
            </w:pPr>
            <w:r>
              <w:rPr>
                <w:rFonts w:hint="eastAsia" w:ascii="宋体" w:hAnsi="宋体"/>
                <w:b/>
                <w:sz w:val="18"/>
                <w:szCs w:val="18"/>
              </w:rPr>
              <w:t xml:space="preserve">▲</w:t>
            </w:r>
            <w:r>
              <w:rPr>
                <w:rFonts w:hint="eastAsia" w:ascii="宋体" w:hAnsi="宋体"/>
                <w:sz w:val="18"/>
                <w:szCs w:val="18"/>
              </w:rPr>
              <w:t xml:space="preserve">支持通过应用发布实现数据库操作的命令级审计和图形审计的双重审计效果，命令级审计便于重现真实的完整操作命令，图形审计便于直观的查看到真实的操作行为，并支持通过搜索操作语句关键字定位审计回放。</w:t>
            </w:r>
            <w:r>
              <w:rPr>
                <w:rFonts w:hint="eastAsia" w:ascii="宋体" w:hAnsi="宋体" w:cs="宋体"/>
                <w:b/>
                <w:bCs/>
                <w:sz w:val="20"/>
                <w:szCs w:val="20"/>
              </w:rPr>
              <w:t xml:space="preserve">（提供具有CMA认证的检测机构出具的检测报告扫描件）</w:t>
            </w:r>
            <w:r/>
          </w:p>
        </w:tc>
      </w:tr>
      <w:tr>
        <w:trPr>
          <w:trHeight w:val="426"/>
        </w:trPr>
        <w:tc>
          <w:tcPr>
            <w:tcBorders>
              <w:top w:val="single" w:color="000000" w:sz="6" w:space="0"/>
              <w:left w:val="single" w:color="000000" w:sz="12" w:space="0"/>
              <w:bottom w:val="single" w:color="000000" w:sz="6" w:space="0"/>
              <w:right w:val="single" w:color="000000" w:sz="6" w:space="0"/>
            </w:tcBorders>
            <w:tcW w:w="1649"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国密认证</w:t>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ascii="宋体" w:hAnsi="宋体"/>
                <w:sz w:val="18"/>
                <w:szCs w:val="18"/>
              </w:rPr>
            </w:pPr>
            <w:r>
              <w:rPr>
                <w:rFonts w:hint="eastAsia" w:ascii="宋体" w:hAnsi="宋体"/>
                <w:b/>
                <w:sz w:val="18"/>
                <w:szCs w:val="18"/>
              </w:rPr>
              <w:t xml:space="preserve">▲</w:t>
            </w:r>
            <w:r>
              <w:rPr>
                <w:rFonts w:hint="eastAsia" w:ascii="宋体" w:hAnsi="宋体"/>
                <w:sz w:val="18"/>
                <w:szCs w:val="18"/>
              </w:rPr>
              <w:t xml:space="preserve">支持使用国密令牌认证，并且能够和本地密码或者其他认证方式组</w:t>
            </w:r>
            <w:r/>
          </w:p>
          <w:p>
            <w:pPr>
              <w:rPr>
                <w:rFonts w:ascii="宋体" w:hAnsi="宋体"/>
                <w:b/>
                <w:sz w:val="18"/>
                <w:szCs w:val="18"/>
              </w:rPr>
            </w:pPr>
            <w:r>
              <w:rPr>
                <w:rFonts w:hint="eastAsia" w:ascii="宋体" w:hAnsi="宋体"/>
                <w:sz w:val="18"/>
                <w:szCs w:val="18"/>
              </w:rPr>
              <w:t xml:space="preserve">成双因素认证。</w:t>
            </w:r>
            <w:r>
              <w:rPr>
                <w:rFonts w:hint="eastAsia" w:ascii="宋体" w:hAnsi="宋体" w:cs="宋体"/>
                <w:b/>
                <w:bCs/>
                <w:sz w:val="20"/>
                <w:szCs w:val="20"/>
              </w:rPr>
              <w:t xml:space="preserve">（提供具有CMA认证的检测机构出具的检测报告扫描件）</w:t>
            </w:r>
            <w:r/>
          </w:p>
        </w:tc>
      </w:tr>
      <w:tr>
        <w:trPr>
          <w:trHeight w:val="616"/>
        </w:trPr>
        <w:tc>
          <w:tcPr>
            <w:tcBorders>
              <w:top w:val="single" w:color="000000" w:sz="6" w:space="0"/>
              <w:left w:val="single" w:color="000000" w:sz="12" w:space="0"/>
              <w:right w:val="single" w:color="000000" w:sz="6" w:space="0"/>
            </w:tcBorders>
            <w:tcW w:w="1649" w:type="dxa"/>
            <w:vAlign w:val="center"/>
            <w:vMerge w:val="restart"/>
            <w:textDirection w:val="lrTb"/>
            <w:noWrap w:val="false"/>
          </w:tcPr>
          <w:p>
            <w:pPr>
              <w:jc w:val="center"/>
              <w:rPr>
                <w:rFonts w:ascii="宋体" w:hAnsi="宋体"/>
                <w:b/>
                <w:sz w:val="18"/>
                <w:szCs w:val="18"/>
              </w:rPr>
            </w:pPr>
            <w:r>
              <w:rPr>
                <w:rFonts w:hint="eastAsia" w:ascii="宋体" w:hAnsi="宋体"/>
                <w:b/>
                <w:sz w:val="18"/>
                <w:szCs w:val="18"/>
              </w:rPr>
              <w:t xml:space="preserve">国密通信</w:t>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ascii="宋体" w:hAnsi="宋体"/>
                <w:sz w:val="18"/>
                <w:szCs w:val="18"/>
              </w:rPr>
            </w:pPr>
            <w:r>
              <w:rPr>
                <w:rFonts w:hint="eastAsia" w:ascii="宋体" w:hAnsi="宋体"/>
                <w:b/>
                <w:sz w:val="18"/>
                <w:szCs w:val="18"/>
              </w:rPr>
              <w:t xml:space="preserve">▲</w:t>
            </w:r>
            <w:r>
              <w:rPr>
                <w:rFonts w:hint="eastAsia" w:ascii="宋体" w:hAnsi="宋体"/>
                <w:sz w:val="18"/>
                <w:szCs w:val="18"/>
              </w:rPr>
              <w:t xml:space="preserve">支持国密HTTPS通信，可通过国密浏览器访问运</w:t>
            </w:r>
            <w:r>
              <w:rPr>
                <w:rFonts w:hint="eastAsia" w:ascii="宋体" w:hAnsi="宋体"/>
                <w:sz w:val="18"/>
                <w:szCs w:val="18"/>
              </w:rPr>
              <w:t xml:space="preserve">维安全</w:t>
            </w:r>
            <w:r>
              <w:rPr>
                <w:rFonts w:hint="eastAsia" w:ascii="宋体" w:hAnsi="宋体"/>
                <w:sz w:val="18"/>
                <w:szCs w:val="18"/>
              </w:rPr>
              <w:t xml:space="preserve">网关，支持国密身份认证，可配置国密动态口令卡实现双因认证，支持国密存储，</w:t>
            </w:r>
            <w:r/>
          </w:p>
          <w:p>
            <w:pPr>
              <w:rPr>
                <w:rFonts w:ascii="宋体" w:hAnsi="宋体"/>
                <w:sz w:val="18"/>
                <w:szCs w:val="18"/>
              </w:rPr>
            </w:pPr>
            <w:r>
              <w:rPr>
                <w:rFonts w:hint="eastAsia" w:ascii="宋体" w:hAnsi="宋体"/>
                <w:sz w:val="18"/>
                <w:szCs w:val="18"/>
              </w:rPr>
              <w:t xml:space="preserve">对运</w:t>
            </w:r>
            <w:r>
              <w:rPr>
                <w:rFonts w:hint="eastAsia" w:ascii="宋体" w:hAnsi="宋体"/>
                <w:sz w:val="18"/>
                <w:szCs w:val="18"/>
              </w:rPr>
              <w:t xml:space="preserve">维安全</w:t>
            </w:r>
            <w:r>
              <w:rPr>
                <w:rFonts w:hint="eastAsia" w:ascii="宋体" w:hAnsi="宋体"/>
                <w:sz w:val="18"/>
                <w:szCs w:val="18"/>
              </w:rPr>
              <w:t xml:space="preserve">网关主从</w:t>
            </w:r>
            <w:r>
              <w:rPr>
                <w:rFonts w:hint="eastAsia" w:ascii="宋体" w:hAnsi="宋体"/>
                <w:sz w:val="18"/>
                <w:szCs w:val="18"/>
              </w:rPr>
              <w:t xml:space="preserve">帐号</w:t>
            </w:r>
            <w:r>
              <w:rPr>
                <w:rFonts w:hint="eastAsia" w:ascii="宋体" w:hAnsi="宋体"/>
                <w:sz w:val="18"/>
                <w:szCs w:val="18"/>
              </w:rPr>
              <w:t xml:space="preserve">密码进行国密算法加密。</w:t>
            </w:r>
            <w:r>
              <w:rPr>
                <w:rFonts w:hint="eastAsia" w:ascii="宋体" w:hAnsi="宋体" w:cs="宋体"/>
                <w:b/>
                <w:bCs/>
                <w:sz w:val="20"/>
                <w:szCs w:val="20"/>
              </w:rPr>
              <w:t xml:space="preserve">（提供具有CMA认证的检测机构出具的检测报告扫描件）</w:t>
            </w:r>
            <w:r/>
          </w:p>
        </w:tc>
      </w:tr>
      <w:tr>
        <w:trPr>
          <w:trHeight w:val="683"/>
        </w:trPr>
        <w:tc>
          <w:tcPr>
            <w:tcBorders>
              <w:left w:val="single" w:color="000000" w:sz="12" w:space="0"/>
              <w:bottom w:val="single" w:color="000000" w:sz="6" w:space="0"/>
              <w:right w:val="single" w:color="000000" w:sz="6" w:space="0"/>
            </w:tcBorders>
            <w:tcW w:w="1649" w:type="dxa"/>
            <w:vAlign w:val="center"/>
            <w:vMerge w:val="continue"/>
            <w:textDirection w:val="lrTb"/>
            <w:noWrap w:val="false"/>
          </w:tcPr>
          <w:p>
            <w:pPr>
              <w:rPr>
                <w:sz w:val="18"/>
                <w:szCs w:val="18"/>
              </w:rPr>
            </w:pPr>
            <w:r>
              <w:rPr>
                <w:sz w:val="18"/>
                <w:szCs w:val="18"/>
              </w:rPr>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cstheme="minorHAnsi"/>
                <w:sz w:val="18"/>
                <w:szCs w:val="18"/>
              </w:rPr>
            </w:pPr>
            <w:r>
              <w:rPr>
                <w:rFonts w:hint="eastAsia" w:ascii="宋体" w:hAnsi="宋体"/>
                <w:b/>
                <w:sz w:val="18"/>
                <w:szCs w:val="18"/>
              </w:rPr>
              <w:t xml:space="preserve">▲</w:t>
            </w:r>
            <w:r>
              <w:rPr>
                <w:rFonts w:hint="eastAsia" w:ascii="宋体" w:hAnsi="宋体"/>
                <w:sz w:val="18"/>
                <w:szCs w:val="18"/>
              </w:rPr>
              <w:t xml:space="preserve">https协议支持国密https，标准https，国密兼容https，证书签名算法支持SM2</w:t>
            </w:r>
            <w:r>
              <w:rPr>
                <w:rFonts w:hint="eastAsia" w:cstheme="minorHAnsi"/>
                <w:b/>
                <w:bCs/>
                <w:sz w:val="18"/>
                <w:szCs w:val="18"/>
              </w:rPr>
              <w:t xml:space="preserve">（提供产品证明截图）</w:t>
            </w:r>
            <w:r/>
          </w:p>
        </w:tc>
      </w:tr>
      <w:tr>
        <w:trPr>
          <w:trHeight w:val="379"/>
        </w:trPr>
        <w:tc>
          <w:tcPr>
            <w:tcBorders>
              <w:left w:val="single" w:color="000000" w:sz="12" w:space="0"/>
              <w:bottom w:val="single" w:color="000000" w:sz="6" w:space="0"/>
              <w:right w:val="single" w:color="000000" w:sz="6" w:space="0"/>
            </w:tcBorders>
            <w:tcW w:w="1649" w:type="dxa"/>
            <w:vAlign w:val="center"/>
            <w:vMerge w:val="continue"/>
            <w:textDirection w:val="lrTb"/>
            <w:noWrap w:val="false"/>
          </w:tcPr>
          <w:p>
            <w:pPr>
              <w:rPr>
                <w:sz w:val="18"/>
                <w:szCs w:val="18"/>
              </w:rPr>
            </w:pPr>
            <w:r>
              <w:rPr>
                <w:sz w:val="18"/>
                <w:szCs w:val="18"/>
              </w:rPr>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cstheme="minorHAnsi"/>
                <w:sz w:val="18"/>
                <w:szCs w:val="18"/>
              </w:rPr>
            </w:pPr>
            <w:r>
              <w:rPr>
                <w:rFonts w:hint="eastAsia" w:ascii="宋体" w:hAnsi="宋体"/>
                <w:sz w:val="18"/>
                <w:szCs w:val="18"/>
              </w:rPr>
              <w:t xml:space="preserve">▲</w:t>
            </w:r>
            <w:r>
              <w:rPr>
                <w:rFonts w:hint="eastAsia"/>
                <w:sz w:val="18"/>
                <w:szCs w:val="18"/>
              </w:rPr>
              <w:t xml:space="preserve">支持国密口令认证，支持国密动态口令认证。</w:t>
            </w:r>
            <w:r>
              <w:rPr>
                <w:rFonts w:hint="eastAsia" w:cstheme="minorHAnsi"/>
                <w:b/>
                <w:bCs/>
                <w:sz w:val="18"/>
                <w:szCs w:val="18"/>
              </w:rPr>
              <w:t xml:space="preserve">（提供产品证明截图）</w:t>
            </w:r>
            <w:r/>
          </w:p>
        </w:tc>
      </w:tr>
      <w:tr>
        <w:trPr>
          <w:trHeight w:val="426"/>
        </w:trPr>
        <w:tc>
          <w:tcPr>
            <w:tcBorders>
              <w:top w:val="single" w:color="000000" w:sz="6" w:space="0"/>
              <w:left w:val="single" w:color="000000" w:sz="12" w:space="0"/>
              <w:bottom w:val="single" w:color="000000" w:sz="6" w:space="0"/>
              <w:right w:val="single" w:color="000000" w:sz="6" w:space="0"/>
            </w:tcBorders>
            <w:tcW w:w="1649"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自动改密</w:t>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ascii="宋体" w:hAnsi="宋体"/>
                <w:sz w:val="18"/>
                <w:szCs w:val="18"/>
              </w:rPr>
            </w:pPr>
            <w:r>
              <w:rPr>
                <w:rFonts w:hint="eastAsia" w:ascii="宋体" w:hAnsi="宋体"/>
                <w:sz w:val="18"/>
                <w:szCs w:val="18"/>
              </w:rPr>
              <w:t xml:space="preserve">支持数据库协议自动改密，</w:t>
            </w:r>
            <w:r>
              <w:rPr>
                <w:rFonts w:hint="eastAsia" w:ascii="宋体" w:hAnsi="宋体"/>
                <w:sz w:val="18"/>
                <w:szCs w:val="18"/>
              </w:rPr>
              <w:t xml:space="preserve">改密类型</w:t>
            </w:r>
            <w:r>
              <w:rPr>
                <w:rFonts w:hint="eastAsia" w:ascii="宋体" w:hAnsi="宋体"/>
                <w:sz w:val="18"/>
                <w:szCs w:val="18"/>
              </w:rPr>
              <w:t xml:space="preserve">支持：Oracle、PostgreSQL、MySql、DB2、Informix 、SYBASE，Mssql</w:t>
            </w:r>
            <w:r/>
          </w:p>
        </w:tc>
      </w:tr>
      <w:tr>
        <w:trPr>
          <w:trHeight w:val="426"/>
        </w:trPr>
        <w:tc>
          <w:tcPr>
            <w:tcBorders>
              <w:top w:val="single" w:color="000000" w:sz="6" w:space="0"/>
              <w:left w:val="single" w:color="000000" w:sz="12" w:space="0"/>
              <w:bottom w:val="single" w:color="000000" w:sz="6" w:space="0"/>
              <w:right w:val="single" w:color="000000" w:sz="6" w:space="0"/>
            </w:tcBorders>
            <w:tcW w:w="1649"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本地运</w:t>
            </w:r>
            <w:r>
              <w:rPr>
                <w:rFonts w:hint="eastAsia" w:ascii="宋体" w:hAnsi="宋体"/>
                <w:b/>
                <w:sz w:val="18"/>
                <w:szCs w:val="18"/>
              </w:rPr>
              <w:t xml:space="preserve">维工具</w:t>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ascii="宋体" w:hAnsi="宋体"/>
                <w:sz w:val="18"/>
                <w:szCs w:val="18"/>
              </w:rPr>
            </w:pPr>
            <w:r>
              <w:rPr>
                <w:rFonts w:hint="eastAsia" w:ascii="宋体" w:hAnsi="宋体"/>
                <w:sz w:val="18"/>
                <w:szCs w:val="18"/>
              </w:rPr>
              <w:t xml:space="preserve">支持扫描本地运</w:t>
            </w:r>
            <w:r>
              <w:rPr>
                <w:rFonts w:hint="eastAsia" w:ascii="宋体" w:hAnsi="宋体"/>
                <w:sz w:val="18"/>
                <w:szCs w:val="18"/>
              </w:rPr>
              <w:t xml:space="preserve">维工具</w:t>
            </w:r>
            <w:r>
              <w:rPr>
                <w:rFonts w:hint="eastAsia" w:ascii="宋体" w:hAnsi="宋体"/>
                <w:sz w:val="18"/>
                <w:szCs w:val="18"/>
              </w:rPr>
              <w:t xml:space="preserve">并进行配置保存，简化运</w:t>
            </w:r>
            <w:r>
              <w:rPr>
                <w:rFonts w:hint="eastAsia" w:ascii="宋体" w:hAnsi="宋体"/>
                <w:sz w:val="18"/>
                <w:szCs w:val="18"/>
              </w:rPr>
              <w:t xml:space="preserve">维人员</w:t>
            </w:r>
            <w:r>
              <w:rPr>
                <w:rFonts w:hint="eastAsia" w:ascii="宋体" w:hAnsi="宋体"/>
                <w:sz w:val="18"/>
                <w:szCs w:val="18"/>
              </w:rPr>
              <w:t xml:space="preserve">使用配置过程</w:t>
            </w:r>
            <w:r>
              <w:rPr>
                <w:rFonts w:hint="eastAsia" w:ascii="宋体" w:hAnsi="宋体"/>
                <w:b/>
                <w:bCs/>
                <w:sz w:val="18"/>
                <w:szCs w:val="18"/>
              </w:rPr>
              <w:t xml:space="preserve">（提供产品功能截图）</w:t>
            </w:r>
            <w:r/>
          </w:p>
        </w:tc>
      </w:tr>
      <w:tr>
        <w:trPr>
          <w:trHeight w:val="426"/>
        </w:trPr>
        <w:tc>
          <w:tcPr>
            <w:tcBorders>
              <w:top w:val="single" w:color="000000" w:sz="6" w:space="0"/>
              <w:left w:val="single" w:color="000000" w:sz="12" w:space="0"/>
              <w:bottom w:val="single" w:color="000000" w:sz="6" w:space="0"/>
              <w:right w:val="single" w:color="000000" w:sz="6" w:space="0"/>
            </w:tcBorders>
            <w:tcW w:w="1649"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产品资质</w:t>
            </w:r>
            <w:r/>
          </w:p>
        </w:tc>
        <w:tc>
          <w:tcPr>
            <w:tcBorders>
              <w:top w:val="single" w:color="000000" w:sz="6" w:space="0"/>
              <w:left w:val="single" w:color="000000" w:sz="6" w:space="0"/>
              <w:bottom w:val="single" w:color="000000" w:sz="6" w:space="0"/>
              <w:right w:val="single" w:color="000000" w:sz="12" w:space="0"/>
            </w:tcBorders>
            <w:tcW w:w="6934" w:type="dxa"/>
            <w:textDirection w:val="lrTb"/>
            <w:noWrap w:val="false"/>
          </w:tcPr>
          <w:p>
            <w:pPr>
              <w:rPr>
                <w:rFonts w:ascii="宋体" w:hAnsi="宋体"/>
                <w:sz w:val="18"/>
                <w:szCs w:val="18"/>
              </w:rPr>
            </w:pPr>
            <w:r>
              <w:rPr>
                <w:rFonts w:hint="eastAsia" w:ascii="宋体" w:hAnsi="宋体"/>
                <w:sz w:val="18"/>
                <w:szCs w:val="18"/>
              </w:rPr>
              <w:t xml:space="preserve">产品具有《网络安全专用产品安全检测证书》</w:t>
            </w:r>
            <w:r/>
          </w:p>
        </w:tc>
      </w:tr>
    </w:tbl>
    <w:p>
      <w:pPr>
        <w:rPr>
          <w:rFonts w:ascii="宋体" w:hAnsi="宋体"/>
          <w:b/>
          <w:bCs/>
          <w:sz w:val="20"/>
          <w:szCs w:val="20"/>
        </w:rPr>
      </w:pPr>
      <w:r>
        <w:rPr>
          <w:rFonts w:ascii="宋体" w:hAnsi="宋体"/>
          <w:b/>
          <w:bCs/>
          <w:sz w:val="20"/>
          <w:szCs w:val="20"/>
        </w:rPr>
      </w:r>
      <w:r/>
    </w:p>
    <w:p>
      <w:pPr>
        <w:tabs>
          <w:tab w:val="left" w:pos="1710" w:leader="none"/>
        </w:tabs>
        <w:rPr>
          <w:rFonts w:ascii="宋体" w:hAnsi="宋体" w:eastAsia="微软雅黑"/>
          <w:b/>
          <w:bCs/>
          <w:sz w:val="20"/>
          <w:szCs w:val="20"/>
        </w:rPr>
      </w:pPr>
      <w:r>
        <w:rPr>
          <w:rFonts w:hint="eastAsia" w:ascii="宋体" w:hAnsi="宋体"/>
          <w:b/>
          <w:bCs/>
          <w:sz w:val="20"/>
          <w:szCs w:val="20"/>
        </w:rPr>
        <w:t xml:space="preserve">4）</w:t>
      </w:r>
      <w:r>
        <w:rPr>
          <w:rFonts w:hint="eastAsia" w:ascii="微软雅黑" w:hAnsi="微软雅黑" w:eastAsia="微软雅黑"/>
          <w:sz w:val="20"/>
          <w:szCs w:val="20"/>
        </w:rPr>
        <w:t xml:space="preserve">日志审计</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7367"/>
      </w:tblGrid>
      <w:tr>
        <w:trPr>
          <w:jc w:val="center"/>
          <w:trHeight w:val="93"/>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s="Arial"/>
                <w:b/>
                <w:bCs/>
                <w:sz w:val="20"/>
                <w:szCs w:val="20"/>
              </w:rPr>
            </w:pPr>
            <w:r>
              <w:rPr>
                <w:rFonts w:hint="eastAsia" w:ascii="宋体" w:hAnsi="宋体" w:cs="Arial"/>
                <w:b/>
                <w:bCs/>
                <w:sz w:val="20"/>
                <w:szCs w:val="20"/>
              </w:rPr>
              <w:t xml:space="preserve">指标项</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jc w:val="center"/>
              <w:rPr>
                <w:rFonts w:ascii="宋体" w:hAnsi="宋体" w:cs="Arial"/>
                <w:b/>
                <w:bCs/>
                <w:sz w:val="20"/>
                <w:szCs w:val="20"/>
              </w:rPr>
            </w:pPr>
            <w:r>
              <w:rPr>
                <w:rFonts w:hint="eastAsia" w:ascii="宋体" w:hAnsi="宋体" w:cs="Arial"/>
                <w:b/>
                <w:bCs/>
                <w:sz w:val="20"/>
                <w:szCs w:val="20"/>
              </w:rPr>
              <w:t xml:space="preserve">描述</w:t>
            </w:r>
            <w:r/>
          </w:p>
        </w:tc>
      </w:tr>
      <w:tr>
        <w:trPr>
          <w:jc w:val="center"/>
          <w:trHeight w:val="77"/>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硬件要求</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rPr>
                <w:rFonts w:ascii="宋体" w:hAnsi="宋体"/>
                <w:sz w:val="20"/>
                <w:szCs w:val="20"/>
              </w:rPr>
            </w:pPr>
            <w:r>
              <w:rPr>
                <w:rFonts w:hint="eastAsia" w:ascii="宋体" w:hAnsi="宋体"/>
                <w:b/>
                <w:sz w:val="20"/>
                <w:szCs w:val="20"/>
              </w:rPr>
              <w:t xml:space="preserve">▲</w:t>
            </w:r>
            <w:r>
              <w:rPr>
                <w:rFonts w:hint="eastAsia" w:ascii="宋体" w:hAnsi="宋体"/>
                <w:sz w:val="20"/>
                <w:szCs w:val="20"/>
              </w:rPr>
              <w:t xml:space="preserve">标准机架式设备，国产化软硬件平台，设备配置</w:t>
            </w:r>
            <w:r>
              <w:rPr>
                <w:rFonts w:hint="eastAsia" w:ascii="宋体" w:hAnsi="宋体"/>
                <w:sz w:val="18"/>
                <w:szCs w:val="18"/>
              </w:rPr>
              <w:t xml:space="preserve">≥</w:t>
            </w:r>
            <w:r>
              <w:rPr>
                <w:rFonts w:hint="eastAsia" w:ascii="宋体" w:hAnsi="宋体"/>
                <w:sz w:val="20"/>
                <w:szCs w:val="20"/>
              </w:rPr>
              <w:t xml:space="preserve">6个千兆自适应电口，</w:t>
            </w:r>
            <w:r>
              <w:rPr>
                <w:rFonts w:hint="eastAsia" w:ascii="宋体" w:hAnsi="宋体"/>
                <w:sz w:val="18"/>
                <w:szCs w:val="18"/>
              </w:rPr>
              <w:t xml:space="preserve">≥</w:t>
            </w:r>
            <w:r>
              <w:rPr>
                <w:rFonts w:hint="eastAsia" w:ascii="宋体" w:hAnsi="宋体"/>
                <w:sz w:val="20"/>
                <w:szCs w:val="20"/>
              </w:rPr>
              <w:t xml:space="preserve">4个千兆SFP</w:t>
            </w:r>
            <w:r>
              <w:rPr>
                <w:rFonts w:hint="eastAsia" w:ascii="宋体" w:hAnsi="宋体"/>
                <w:sz w:val="20"/>
                <w:szCs w:val="20"/>
              </w:rPr>
              <w:t xml:space="preserve">光口插槽</w:t>
            </w:r>
            <w:r>
              <w:rPr>
                <w:rFonts w:hint="eastAsia" w:ascii="宋体" w:hAnsi="宋体"/>
                <w:sz w:val="20"/>
                <w:szCs w:val="20"/>
              </w:rPr>
              <w:t xml:space="preserve">，</w:t>
            </w:r>
            <w:r>
              <w:rPr>
                <w:rFonts w:hint="eastAsia" w:ascii="宋体" w:hAnsi="宋体" w:cs="宋体"/>
                <w:sz w:val="20"/>
                <w:szCs w:val="20"/>
              </w:rPr>
              <w:t xml:space="preserve">满足上述接口配置后剩余可用接口扩展槽位不少于3个</w:t>
            </w:r>
            <w:r>
              <w:rPr>
                <w:rFonts w:hint="eastAsia" w:ascii="宋体" w:hAnsi="宋体"/>
                <w:sz w:val="20"/>
                <w:szCs w:val="20"/>
              </w:rPr>
              <w:t xml:space="preserve">，可扩展万兆接口，2个USB接口，内存16G，存储容量:128GSSD+2TB。</w:t>
            </w:r>
            <w:r/>
          </w:p>
        </w:tc>
      </w:tr>
      <w:tr>
        <w:trPr>
          <w:jc w:val="center"/>
          <w:trHeight w:val="77"/>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b/>
                <w:sz w:val="20"/>
                <w:szCs w:val="20"/>
              </w:rPr>
            </w:pPr>
            <w:r>
              <w:rPr>
                <w:rFonts w:hint="eastAsia" w:ascii="宋体" w:hAnsi="宋体"/>
                <w:b/>
                <w:sz w:val="20"/>
                <w:szCs w:val="20"/>
              </w:rPr>
              <w:t xml:space="preserve">性能</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rPr>
                <w:rFonts w:ascii="宋体" w:hAnsi="宋体"/>
                <w:sz w:val="20"/>
                <w:szCs w:val="20"/>
              </w:rPr>
            </w:pPr>
            <w:r>
              <w:rPr>
                <w:rFonts w:hint="eastAsia" w:ascii="宋体" w:hAnsi="宋体"/>
                <w:b/>
                <w:sz w:val="20"/>
                <w:szCs w:val="20"/>
              </w:rPr>
              <w:t xml:space="preserve">▲</w:t>
            </w:r>
            <w:r>
              <w:rPr>
                <w:rFonts w:hint="eastAsia" w:ascii="宋体" w:hAnsi="宋体"/>
                <w:sz w:val="20"/>
                <w:szCs w:val="20"/>
              </w:rPr>
              <w:t xml:space="preserve">日志处理性能≥3000EPS，。此次配置30个被审计主机许可授权，提供三年硬件保修和技术支持服务</w:t>
            </w:r>
            <w:r/>
          </w:p>
        </w:tc>
      </w:tr>
      <w:tr>
        <w:trPr>
          <w:jc w:val="center"/>
          <w:trHeight w:val="77"/>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ascii="宋体" w:hAnsi="宋体"/>
                <w:b/>
                <w:sz w:val="20"/>
                <w:szCs w:val="20"/>
              </w:rPr>
            </w:pPr>
            <w:r>
              <w:rPr>
                <w:rFonts w:hint="eastAsia" w:ascii="宋体" w:hAnsi="宋体"/>
                <w:b/>
                <w:sz w:val="20"/>
                <w:szCs w:val="20"/>
              </w:rPr>
              <w:t xml:space="preserve">日志源管理</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rPr>
                <w:rFonts w:ascii="宋体" w:hAnsi="宋体"/>
                <w:sz w:val="20"/>
                <w:szCs w:val="20"/>
              </w:rPr>
            </w:pPr>
            <w:r>
              <w:rPr>
                <w:rFonts w:hint="eastAsia" w:ascii="宋体" w:hAnsi="宋体"/>
                <w:sz w:val="20"/>
                <w:szCs w:val="20"/>
              </w:rPr>
              <w:t xml:space="preserve">产品支持日志源管理功能，对日志源进行增删改查、对断点日志源可以设置产生告警，单个日志源设备可查看该设备最近7天的事件趋势</w:t>
            </w:r>
            <w:r/>
          </w:p>
        </w:tc>
      </w:tr>
      <w:tr>
        <w:trPr>
          <w:jc w:val="center"/>
          <w:trHeight w:val="77"/>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ascii="宋体" w:hAnsi="宋体"/>
                <w:b/>
                <w:sz w:val="20"/>
                <w:szCs w:val="20"/>
              </w:rPr>
            </w:pPr>
            <w:r>
              <w:rPr>
                <w:rFonts w:hint="eastAsia" w:ascii="宋体" w:hAnsi="宋体"/>
                <w:b/>
                <w:sz w:val="20"/>
                <w:szCs w:val="20"/>
              </w:rPr>
              <w:t xml:space="preserve">日志编码</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rPr>
                <w:rFonts w:ascii="宋体" w:hAnsi="宋体"/>
                <w:sz w:val="20"/>
                <w:szCs w:val="20"/>
              </w:rPr>
            </w:pPr>
            <w:r>
              <w:rPr>
                <w:rFonts w:hint="eastAsia" w:ascii="宋体" w:hAnsi="宋体"/>
                <w:sz w:val="20"/>
                <w:szCs w:val="20"/>
              </w:rPr>
              <w:t xml:space="preserve">▲产品对日志编码方式进行自定义选择，包括UTF-8、UTF-16、GBK、IOS-8859-1等</w:t>
            </w:r>
            <w:r>
              <w:rPr>
                <w:rFonts w:hint="eastAsia" w:ascii="宋体" w:hAnsi="宋体" w:cs="宋体"/>
                <w:b/>
                <w:bCs/>
                <w:sz w:val="20"/>
                <w:szCs w:val="20"/>
              </w:rPr>
              <w:t xml:space="preserve">（提供具有CMA认证的检测机构出具的检测报告扫描件）</w:t>
            </w:r>
            <w:r/>
          </w:p>
        </w:tc>
      </w:tr>
      <w:tr>
        <w:trPr>
          <w:jc w:val="center"/>
          <w:trHeight w:val="77"/>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告警功能</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jc w:val="left"/>
              <w:widowControl/>
              <w:rPr>
                <w:rFonts w:ascii="宋体" w:hAnsi="宋体" w:cs="宋体"/>
                <w:sz w:val="20"/>
                <w:szCs w:val="20"/>
              </w:rPr>
            </w:pPr>
            <w:r>
              <w:rPr>
                <w:rFonts w:hint="eastAsia" w:ascii="宋体" w:hAnsi="宋体"/>
                <w:sz w:val="20"/>
                <w:szCs w:val="20"/>
              </w:rPr>
              <w:t xml:space="preserve">▲产品支持关联分析的结果进行告警重定义功能，能够对规则触发的告警时间和关联后事件的任意字段进行重定义，包括修订告警级别和告警类型等。</w:t>
            </w:r>
            <w:r>
              <w:rPr>
                <w:rFonts w:hint="eastAsia" w:ascii="宋体" w:hAnsi="宋体" w:cs="宋体"/>
                <w:b/>
                <w:bCs/>
                <w:sz w:val="20"/>
                <w:szCs w:val="20"/>
              </w:rPr>
              <w:t xml:space="preserve">（提供具有CMA认证的检测机构出具的检测报告扫描件）</w:t>
            </w:r>
            <w:r/>
          </w:p>
        </w:tc>
      </w:tr>
      <w:tr>
        <w:trPr>
          <w:jc w:val="center"/>
          <w:trHeight w:val="1242"/>
        </w:trPr>
        <w:tc>
          <w:tcPr>
            <w:tcBorders>
              <w:top w:val="single" w:color="auto" w:sz="4" w:space="0"/>
              <w:left w:val="single" w:color="auto" w:sz="4" w:space="0"/>
              <w:right w:val="single" w:color="auto" w:sz="4" w:space="0"/>
            </w:tcBorders>
            <w:tcW w:w="1559" w:type="dxa"/>
            <w:vAlign w:val="center"/>
            <w:vMerge w:val="restart"/>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资产管理</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jc w:val="left"/>
              <w:widowControl/>
              <w:rPr>
                <w:rFonts w:ascii="宋体" w:hAnsi="宋体"/>
                <w:sz w:val="20"/>
                <w:szCs w:val="20"/>
              </w:rPr>
            </w:pPr>
            <w:r>
              <w:rPr>
                <w:rFonts w:hint="eastAsia" w:ascii="宋体" w:hAnsi="宋体"/>
                <w:sz w:val="20"/>
                <w:szCs w:val="20"/>
              </w:rPr>
              <w:t xml:space="preserve">▲</w:t>
            </w:r>
            <w:r>
              <w:rPr>
                <w:rFonts w:hint="eastAsia"/>
                <w:sz w:val="20"/>
                <w:szCs w:val="20"/>
              </w:rPr>
              <w:t xml:space="preserve">内置至少</w:t>
            </w:r>
            <w:r>
              <w:rPr>
                <w:rFonts w:hint="eastAsia"/>
                <w:sz w:val="20"/>
                <w:szCs w:val="20"/>
              </w:rPr>
              <w:t xml:space="preserve">30</w:t>
            </w:r>
            <w:r>
              <w:rPr>
                <w:rFonts w:hint="eastAsia"/>
                <w:sz w:val="20"/>
                <w:szCs w:val="20"/>
              </w:rPr>
              <w:t xml:space="preserve">个资产的基础属性、至少</w:t>
            </w:r>
            <w:r>
              <w:rPr>
                <w:rFonts w:hint="eastAsia"/>
                <w:sz w:val="20"/>
                <w:szCs w:val="20"/>
              </w:rPr>
              <w:t xml:space="preserve">15</w:t>
            </w:r>
            <w:r>
              <w:rPr>
                <w:rFonts w:hint="eastAsia"/>
                <w:sz w:val="20"/>
                <w:szCs w:val="20"/>
              </w:rPr>
              <w:t xml:space="preserve">个扩展属性，并属性自定义新增，自定义属性至少应包括属性名称、属性编码、属性类型等信息，属性类型应至少可以指定为输入框、单选框、多选框、下拉框、时间选择框、多行输入等。</w:t>
            </w:r>
            <w:r>
              <w:rPr>
                <w:rFonts w:hint="eastAsia" w:cstheme="minorHAnsi"/>
                <w:b/>
                <w:bCs/>
                <w:sz w:val="20"/>
                <w:szCs w:val="20"/>
              </w:rPr>
              <w:t xml:space="preserve">（提供产品证明截图）</w:t>
            </w:r>
            <w:r/>
          </w:p>
        </w:tc>
      </w:tr>
      <w:tr>
        <w:trPr>
          <w:jc w:val="center"/>
          <w:trHeight w:val="151"/>
        </w:trPr>
        <w:tc>
          <w:tcPr>
            <w:tcBorders>
              <w:left w:val="single" w:color="auto" w:sz="4" w:space="0"/>
              <w:bottom w:val="single" w:color="auto" w:sz="4" w:space="0"/>
              <w:right w:val="single" w:color="auto" w:sz="4" w:space="0"/>
            </w:tcBorders>
            <w:tcW w:w="1559" w:type="dxa"/>
            <w:vAlign w:val="center"/>
            <w:vMerge w:val="continue"/>
            <w:textDirection w:val="lrTb"/>
            <w:noWrap w:val="false"/>
          </w:tcPr>
          <w:p>
            <w:pPr>
              <w:jc w:val="left"/>
              <w:widowControl/>
              <w:rPr>
                <w:sz w:val="20"/>
                <w:szCs w:val="20"/>
              </w:rPr>
            </w:pPr>
            <w:r>
              <w:rPr>
                <w:sz w:val="20"/>
                <w:szCs w:val="20"/>
              </w:rPr>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jc w:val="left"/>
              <w:widowControl/>
              <w:rPr>
                <w:rFonts w:ascii="宋体" w:hAnsi="宋体"/>
                <w:sz w:val="20"/>
                <w:szCs w:val="20"/>
              </w:rPr>
            </w:pPr>
            <w:r>
              <w:rPr>
                <w:rFonts w:hint="eastAsia" w:ascii="宋体" w:hAnsi="宋体"/>
                <w:sz w:val="20"/>
                <w:szCs w:val="20"/>
              </w:rPr>
              <w:t xml:space="preserve">▲</w:t>
            </w:r>
            <w:r>
              <w:rPr>
                <w:rFonts w:hint="eastAsia"/>
                <w:sz w:val="20"/>
                <w:szCs w:val="20"/>
              </w:rPr>
              <w:t xml:space="preserve">提供内置</w:t>
            </w:r>
            <w:r>
              <w:rPr>
                <w:rFonts w:hint="eastAsia"/>
                <w:sz w:val="20"/>
                <w:szCs w:val="20"/>
              </w:rPr>
              <w:t xml:space="preserve">18600+</w:t>
            </w:r>
            <w:r>
              <w:rPr>
                <w:rFonts w:hint="eastAsia"/>
                <w:sz w:val="20"/>
                <w:szCs w:val="20"/>
              </w:rPr>
              <w:t xml:space="preserve">条的厂商名称记录，并支持对厂商名称、厂商编码进行新增、删除、编辑及查询操作。</w:t>
            </w:r>
            <w:r>
              <w:rPr>
                <w:rFonts w:hint="eastAsia" w:cstheme="minorHAnsi"/>
                <w:sz w:val="20"/>
                <w:szCs w:val="20"/>
              </w:rPr>
              <w:t xml:space="preserve">（</w:t>
            </w:r>
            <w:r>
              <w:rPr>
                <w:rFonts w:hint="eastAsia" w:cstheme="minorHAnsi"/>
                <w:b/>
                <w:bCs/>
                <w:sz w:val="20"/>
                <w:szCs w:val="20"/>
              </w:rPr>
              <w:t xml:space="preserve">提供产品证明截图）</w:t>
            </w:r>
            <w:r/>
          </w:p>
        </w:tc>
      </w:tr>
      <w:tr>
        <w:trPr>
          <w:jc w:val="center"/>
          <w:trHeight w:val="77"/>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b/>
                <w:sz w:val="20"/>
                <w:szCs w:val="20"/>
              </w:rPr>
            </w:pPr>
            <w:r>
              <w:rPr>
                <w:rFonts w:hint="eastAsia" w:ascii="宋体" w:hAnsi="宋体"/>
                <w:b/>
                <w:sz w:val="20"/>
                <w:szCs w:val="20"/>
              </w:rPr>
              <w:t xml:space="preserve">支持采集方式</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支持Lotus Domino、Check Point、VMWare的日志采集任务；</w:t>
            </w:r>
            <w:r/>
          </w:p>
          <w:p>
            <w:pPr>
              <w:jc w:val="left"/>
              <w:widowControl/>
              <w:rPr>
                <w:rFonts w:ascii="宋体" w:hAnsi="宋体" w:cs="宋体"/>
                <w:sz w:val="20"/>
                <w:szCs w:val="20"/>
              </w:rPr>
            </w:pPr>
            <w:r>
              <w:rPr>
                <w:rFonts w:hint="eastAsia" w:ascii="宋体" w:hAnsi="宋体" w:cs="宋体"/>
                <w:sz w:val="20"/>
                <w:szCs w:val="20"/>
              </w:rPr>
              <w:t xml:space="preserve">支持对国内主流国产化数据库进行日志数据采集，包括武汉达梦、</w:t>
            </w:r>
            <w:r>
              <w:rPr>
                <w:rFonts w:hint="eastAsia" w:ascii="宋体" w:hAnsi="宋体" w:cs="宋体"/>
                <w:sz w:val="20"/>
                <w:szCs w:val="20"/>
              </w:rPr>
              <w:t xml:space="preserve">人大金</w:t>
            </w:r>
            <w:r>
              <w:rPr>
                <w:rFonts w:hint="eastAsia" w:ascii="宋体" w:hAnsi="宋体" w:cs="宋体"/>
                <w:sz w:val="20"/>
                <w:szCs w:val="20"/>
              </w:rPr>
              <w:t xml:space="preserve">仓、南大通用、神州通用等；支持动态表名模式进行数据库采集，能按照时间或者数字的规则动态每天递增采集日志表；</w:t>
            </w:r>
            <w:r/>
          </w:p>
        </w:tc>
      </w:tr>
      <w:tr>
        <w:trPr>
          <w:jc w:val="center"/>
          <w:trHeight w:val="130"/>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知识库</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rPr>
                <w:rFonts w:ascii="宋体" w:hAnsi="宋体" w:eastAsiaTheme="minorEastAsia"/>
                <w:sz w:val="20"/>
                <w:szCs w:val="20"/>
              </w:rPr>
            </w:pPr>
            <w:r>
              <w:rPr>
                <w:rFonts w:hint="eastAsia" w:ascii="宋体" w:hAnsi="宋体"/>
                <w:sz w:val="20"/>
                <w:szCs w:val="20"/>
              </w:rPr>
              <w:t xml:space="preserve">▲</w:t>
            </w:r>
            <w:r>
              <w:rPr>
                <w:rFonts w:hint="eastAsia"/>
                <w:sz w:val="20"/>
                <w:szCs w:val="20"/>
              </w:rPr>
              <w:t xml:space="preserve">支持内置</w:t>
            </w:r>
            <w:r>
              <w:rPr>
                <w:rFonts w:hint="eastAsia"/>
                <w:sz w:val="20"/>
                <w:szCs w:val="20"/>
              </w:rPr>
              <w:t xml:space="preserve">CiscoPIX</w:t>
            </w:r>
            <w:r>
              <w:rPr>
                <w:rFonts w:hint="eastAsia"/>
                <w:sz w:val="20"/>
                <w:szCs w:val="20"/>
              </w:rPr>
              <w:t xml:space="preserve">和交换机的事件编码知识库、内置</w:t>
            </w:r>
            <w:r>
              <w:rPr>
                <w:rFonts w:hint="eastAsia"/>
                <w:sz w:val="20"/>
                <w:szCs w:val="20"/>
              </w:rPr>
              <w:t xml:space="preserve">Windows</w:t>
            </w:r>
            <w:r>
              <w:rPr>
                <w:rFonts w:hint="eastAsia"/>
                <w:sz w:val="20"/>
                <w:szCs w:val="20"/>
              </w:rPr>
              <w:t xml:space="preserve">、</w:t>
            </w:r>
            <w:r>
              <w:rPr>
                <w:rFonts w:hint="eastAsia"/>
                <w:sz w:val="20"/>
                <w:szCs w:val="20"/>
              </w:rPr>
              <w:t xml:space="preserve">Linux</w:t>
            </w:r>
            <w:r>
              <w:rPr>
                <w:rFonts w:hint="eastAsia"/>
                <w:sz w:val="20"/>
                <w:szCs w:val="20"/>
              </w:rPr>
              <w:t xml:space="preserve">、</w:t>
            </w:r>
            <w:r>
              <w:rPr>
                <w:rFonts w:hint="eastAsia"/>
                <w:sz w:val="20"/>
                <w:szCs w:val="20"/>
              </w:rPr>
              <w:t xml:space="preserve">Solaris</w:t>
            </w:r>
            <w:r>
              <w:rPr>
                <w:rFonts w:hint="eastAsia"/>
                <w:sz w:val="20"/>
                <w:szCs w:val="20"/>
              </w:rPr>
              <w:t xml:space="preserve">、</w:t>
            </w:r>
            <w:r>
              <w:rPr>
                <w:rFonts w:hint="eastAsia"/>
                <w:sz w:val="20"/>
                <w:szCs w:val="20"/>
              </w:rPr>
              <w:t xml:space="preserve">AIX</w:t>
            </w:r>
            <w:r>
              <w:rPr>
                <w:rFonts w:hint="eastAsia"/>
                <w:sz w:val="20"/>
                <w:szCs w:val="20"/>
              </w:rPr>
              <w:t xml:space="preserve">操作系统的事件</w:t>
            </w:r>
            <w:r>
              <w:rPr>
                <w:rFonts w:hint="eastAsia"/>
                <w:sz w:val="20"/>
                <w:szCs w:val="20"/>
              </w:rPr>
              <w:t xml:space="preserve">ID</w:t>
            </w:r>
            <w:r>
              <w:rPr>
                <w:rFonts w:hint="eastAsia"/>
                <w:sz w:val="20"/>
                <w:szCs w:val="20"/>
              </w:rPr>
              <w:t xml:space="preserve">知识库、内置</w:t>
            </w:r>
            <w:r>
              <w:rPr>
                <w:rFonts w:hint="eastAsia"/>
                <w:sz w:val="20"/>
                <w:szCs w:val="20"/>
              </w:rPr>
              <w:t xml:space="preserve">Oracle</w:t>
            </w:r>
            <w:r>
              <w:rPr>
                <w:rFonts w:hint="eastAsia"/>
                <w:sz w:val="20"/>
                <w:szCs w:val="20"/>
              </w:rPr>
              <w:t xml:space="preserve">、</w:t>
            </w:r>
            <w:r>
              <w:rPr>
                <w:rFonts w:hint="eastAsia"/>
                <w:sz w:val="20"/>
                <w:szCs w:val="20"/>
              </w:rPr>
              <w:t xml:space="preserve">SQLServer</w:t>
            </w:r>
            <w:r>
              <w:rPr>
                <w:rFonts w:hint="eastAsia"/>
                <w:sz w:val="20"/>
                <w:szCs w:val="20"/>
              </w:rPr>
              <w:t xml:space="preserve">、</w:t>
            </w:r>
            <w:r>
              <w:rPr>
                <w:rFonts w:hint="eastAsia"/>
                <w:sz w:val="20"/>
                <w:szCs w:val="20"/>
              </w:rPr>
              <w:t xml:space="preserve">MySQL</w:t>
            </w:r>
            <w:r>
              <w:rPr>
                <w:rFonts w:hint="eastAsia"/>
                <w:sz w:val="20"/>
                <w:szCs w:val="20"/>
              </w:rPr>
              <w:t xml:space="preserve">、</w:t>
            </w:r>
            <w:r>
              <w:rPr>
                <w:rFonts w:hint="eastAsia"/>
                <w:sz w:val="20"/>
                <w:szCs w:val="20"/>
              </w:rPr>
              <w:t xml:space="preserve">Informix</w:t>
            </w:r>
            <w:r>
              <w:rPr>
                <w:rFonts w:hint="eastAsia"/>
                <w:sz w:val="20"/>
                <w:szCs w:val="20"/>
              </w:rPr>
              <w:t xml:space="preserve">、</w:t>
            </w:r>
            <w:r>
              <w:rPr>
                <w:rFonts w:hint="eastAsia"/>
                <w:sz w:val="20"/>
                <w:szCs w:val="20"/>
              </w:rPr>
              <w:t xml:space="preserve">DB2</w:t>
            </w:r>
            <w:r>
              <w:rPr>
                <w:rFonts w:hint="eastAsia"/>
                <w:sz w:val="20"/>
                <w:szCs w:val="20"/>
              </w:rPr>
              <w:t xml:space="preserve">数据库的事件错误号，能够查看系统内置的事件库中事件类型名称及其描述信息，内置等级保护知识库、内置病毒爆发、网络攻击、网络拥堵、网络扫描、设备故障、系统瘫痪、信息泄密等案例库</w:t>
            </w:r>
            <w:r>
              <w:rPr>
                <w:rFonts w:hint="eastAsia" w:ascii="宋体" w:hAnsi="宋体" w:cs="宋体"/>
                <w:b/>
                <w:bCs/>
                <w:sz w:val="20"/>
                <w:szCs w:val="20"/>
              </w:rPr>
              <w:t xml:space="preserve">（提供具有CMA认证的检测机构出具的检测报告扫描件）</w:t>
            </w:r>
            <w:r/>
          </w:p>
        </w:tc>
      </w:tr>
      <w:tr>
        <w:trPr>
          <w:jc w:val="center"/>
          <w:trHeight w:val="463"/>
        </w:trPr>
        <w:tc>
          <w:tcPr>
            <w:tcBorders>
              <w:top w:val="single" w:color="auto" w:sz="4" w:space="0"/>
              <w:left w:val="single" w:color="auto" w:sz="4" w:space="0"/>
              <w:right w:val="single" w:color="auto" w:sz="4" w:space="0"/>
            </w:tcBorders>
            <w:tcW w:w="1559" w:type="dxa"/>
            <w:vAlign w:val="center"/>
            <w:vMerge w:val="restart"/>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数据同步</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rPr>
                <w:sz w:val="20"/>
                <w:szCs w:val="20"/>
              </w:rPr>
            </w:pPr>
            <w:r>
              <w:rPr>
                <w:rFonts w:hint="eastAsia" w:ascii="宋体" w:hAnsi="宋体"/>
                <w:sz w:val="20"/>
                <w:szCs w:val="20"/>
              </w:rPr>
              <w:t xml:space="preserve">▲</w:t>
            </w:r>
            <w:r>
              <w:rPr>
                <w:rFonts w:hint="eastAsia"/>
                <w:sz w:val="20"/>
                <w:szCs w:val="20"/>
              </w:rPr>
              <w:t xml:space="preserve">支持数据交换管理能力，包括批量交换、实时交换、业务交换、同步源配置等管理能力。</w:t>
            </w:r>
            <w:r>
              <w:rPr>
                <w:rFonts w:hint="eastAsia" w:cstheme="minorHAnsi"/>
                <w:b/>
                <w:bCs/>
                <w:sz w:val="20"/>
                <w:szCs w:val="20"/>
              </w:rPr>
              <w:t xml:space="preserve">（提供产品证明截图）</w:t>
            </w:r>
            <w:r/>
          </w:p>
        </w:tc>
      </w:tr>
      <w:tr>
        <w:trPr>
          <w:jc w:val="center"/>
          <w:trHeight w:val="463"/>
        </w:trPr>
        <w:tc>
          <w:tcPr>
            <w:tcBorders>
              <w:left w:val="single" w:color="auto" w:sz="4" w:space="0"/>
              <w:bottom w:val="single" w:color="auto" w:sz="4" w:space="0"/>
              <w:right w:val="single" w:color="auto" w:sz="4" w:space="0"/>
            </w:tcBorders>
            <w:tcW w:w="1559"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rPr>
                <w:sz w:val="20"/>
                <w:szCs w:val="20"/>
              </w:rPr>
            </w:pPr>
            <w:r>
              <w:rPr>
                <w:rFonts w:hint="eastAsia" w:ascii="宋体" w:hAnsi="宋体"/>
                <w:sz w:val="20"/>
                <w:szCs w:val="20"/>
              </w:rPr>
              <w:t xml:space="preserve">▲</w:t>
            </w:r>
            <w:r>
              <w:rPr>
                <w:rFonts w:hint="eastAsia"/>
                <w:sz w:val="20"/>
                <w:szCs w:val="20"/>
              </w:rPr>
              <w:t xml:space="preserve">数据同步可根据选择的采集类型关联出数据源名称、</w:t>
            </w:r>
            <w:r>
              <w:rPr>
                <w:rFonts w:hint="eastAsia"/>
                <w:sz w:val="20"/>
                <w:szCs w:val="20"/>
              </w:rPr>
              <w:t xml:space="preserve">host</w:t>
            </w:r>
            <w:r>
              <w:rPr>
                <w:rFonts w:hint="eastAsia"/>
                <w:sz w:val="20"/>
                <w:szCs w:val="20"/>
              </w:rPr>
              <w:t xml:space="preserve">、数据库、表名等进行选择，还需提供</w:t>
            </w:r>
            <w:r>
              <w:rPr>
                <w:rFonts w:hint="eastAsia"/>
                <w:sz w:val="20"/>
                <w:szCs w:val="20"/>
              </w:rPr>
              <w:t xml:space="preserve">SQL</w:t>
            </w:r>
            <w:r>
              <w:rPr>
                <w:rFonts w:hint="eastAsia"/>
                <w:sz w:val="20"/>
                <w:szCs w:val="20"/>
              </w:rPr>
              <w:t xml:space="preserve">同步场景、同步方式、</w:t>
            </w:r>
            <w:r>
              <w:rPr>
                <w:rFonts w:hint="eastAsia"/>
                <w:sz w:val="20"/>
                <w:szCs w:val="20"/>
              </w:rPr>
              <w:t xml:space="preserve">fetchSize</w:t>
            </w:r>
            <w:r>
              <w:rPr>
                <w:rFonts w:hint="eastAsia"/>
                <w:sz w:val="20"/>
                <w:szCs w:val="20"/>
              </w:rPr>
              <w:t xml:space="preserve">等配置能力，支持对配置任务结果进行数据预览。</w:t>
            </w:r>
            <w:r>
              <w:rPr>
                <w:rFonts w:hint="eastAsia" w:cstheme="minorHAnsi"/>
                <w:b/>
                <w:bCs/>
                <w:sz w:val="20"/>
                <w:szCs w:val="20"/>
              </w:rPr>
              <w:t xml:space="preserve">（提供产品证明截图）</w:t>
            </w:r>
            <w:r/>
          </w:p>
        </w:tc>
      </w:tr>
      <w:tr>
        <w:trPr>
          <w:jc w:val="center"/>
          <w:trHeight w:val="77"/>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b/>
                <w:sz w:val="20"/>
                <w:szCs w:val="20"/>
              </w:rPr>
            </w:pPr>
            <w:r>
              <w:rPr>
                <w:rFonts w:hint="eastAsia" w:ascii="宋体" w:hAnsi="宋体"/>
                <w:b/>
                <w:sz w:val="20"/>
                <w:szCs w:val="20"/>
              </w:rPr>
              <w:t xml:space="preserve">日志传输和存储转发</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rPr>
                <w:rFonts w:ascii="宋体" w:hAnsi="宋体"/>
                <w:sz w:val="20"/>
                <w:szCs w:val="20"/>
              </w:rPr>
            </w:pPr>
            <w:r>
              <w:rPr>
                <w:rFonts w:hint="eastAsia" w:ascii="宋体" w:hAnsi="宋体"/>
                <w:sz w:val="20"/>
                <w:szCs w:val="20"/>
              </w:rPr>
              <w:t xml:space="preserve">▲产品支持日志加密压缩传输，支持加密压缩方式转发，加密方式支持SM4国密算法，支持定时转发。</w:t>
            </w:r>
            <w:r>
              <w:rPr>
                <w:rFonts w:hint="eastAsia" w:ascii="宋体" w:hAnsi="宋体" w:cs="宋体"/>
                <w:b/>
                <w:bCs/>
                <w:sz w:val="20"/>
                <w:szCs w:val="20"/>
              </w:rPr>
              <w:t xml:space="preserve">（提供具有CMA认证的检测机构出具的检测报告扫描件）</w:t>
            </w:r>
            <w:r/>
          </w:p>
        </w:tc>
      </w:tr>
      <w:tr>
        <w:trPr>
          <w:jc w:val="center"/>
          <w:trHeight w:val="77"/>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b/>
                <w:sz w:val="20"/>
                <w:szCs w:val="20"/>
              </w:rPr>
            </w:pPr>
            <w:r>
              <w:rPr>
                <w:rFonts w:hint="eastAsia" w:ascii="宋体" w:hAnsi="宋体"/>
                <w:b/>
                <w:sz w:val="20"/>
                <w:szCs w:val="20"/>
              </w:rPr>
              <w:t xml:space="preserve">日志查询</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spacing w:line="312" w:lineRule="atLeast"/>
              <w:rPr>
                <w:rFonts w:ascii="宋体" w:hAnsi="宋体"/>
                <w:sz w:val="20"/>
                <w:szCs w:val="20"/>
              </w:rPr>
            </w:pPr>
            <w:r>
              <w:rPr>
                <w:rFonts w:hint="eastAsia" w:ascii="宋体" w:hAnsi="宋体"/>
                <w:sz w:val="20"/>
                <w:szCs w:val="20"/>
              </w:rPr>
              <w:t xml:space="preserve">系统允许管理员以查询场景的形式查看不同类型的日志信息；</w:t>
            </w:r>
            <w:r/>
          </w:p>
        </w:tc>
      </w:tr>
      <w:tr>
        <w:trPr>
          <w:jc w:val="center"/>
          <w:trHeight w:val="77"/>
        </w:trPr>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范式化</w:t>
            </w:r>
            <w:r>
              <w:rPr>
                <w:rFonts w:hint="eastAsia" w:ascii="宋体" w:hAnsi="宋体" w:cs="宋体"/>
                <w:b/>
                <w:sz w:val="20"/>
                <w:szCs w:val="20"/>
              </w:rPr>
              <w:t xml:space="preserve">关联</w:t>
            </w:r>
            <w:r/>
          </w:p>
        </w:tc>
        <w:tc>
          <w:tcPr>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rPr>
                <w:rFonts w:ascii="宋体" w:hAnsi="宋体" w:cs="宋体"/>
                <w:sz w:val="20"/>
                <w:szCs w:val="20"/>
              </w:rPr>
            </w:pPr>
            <w:r>
              <w:rPr>
                <w:rFonts w:hint="eastAsia" w:ascii="宋体" w:hAnsi="宋体"/>
                <w:sz w:val="20"/>
                <w:szCs w:val="20"/>
              </w:rPr>
              <w:t xml:space="preserve">产品</w:t>
            </w:r>
            <w:r>
              <w:rPr>
                <w:rFonts w:hint="eastAsia" w:ascii="宋体" w:hAnsi="宋体"/>
                <w:sz w:val="20"/>
                <w:szCs w:val="20"/>
              </w:rPr>
              <w:t xml:space="preserve">持所有范式化事件</w:t>
            </w:r>
            <w:r>
              <w:rPr>
                <w:rFonts w:hint="eastAsia" w:ascii="宋体" w:hAnsi="宋体"/>
                <w:sz w:val="20"/>
                <w:szCs w:val="20"/>
              </w:rPr>
              <w:t xml:space="preserve">字段参与关联：编辑规则支持针对事件属性引用规则、引用资产属性、引用资源。</w:t>
            </w:r>
            <w:r/>
          </w:p>
        </w:tc>
      </w:tr>
    </w:tbl>
    <w:p>
      <w:pPr>
        <w:rPr>
          <w:rFonts w:ascii="宋体" w:hAnsi="宋体"/>
          <w:b/>
          <w:bCs/>
          <w:sz w:val="20"/>
          <w:szCs w:val="20"/>
          <w:highlight w:val="yellow"/>
        </w:rPr>
      </w:pPr>
      <w:r>
        <w:rPr>
          <w:rFonts w:ascii="宋体" w:hAnsi="宋体"/>
          <w:b/>
          <w:bCs/>
          <w:sz w:val="20"/>
          <w:szCs w:val="20"/>
          <w:highlight w:val="yellow"/>
        </w:rPr>
      </w:r>
      <w:r/>
    </w:p>
    <w:p>
      <w:pPr>
        <w:tabs>
          <w:tab w:val="left" w:pos="1710" w:leader="none"/>
        </w:tabs>
        <w:rPr>
          <w:rFonts w:ascii="宋体" w:hAnsi="宋体"/>
          <w:b/>
          <w:bCs/>
          <w:sz w:val="20"/>
          <w:szCs w:val="20"/>
        </w:rPr>
      </w:pPr>
      <w:r>
        <w:rPr>
          <w:rFonts w:hint="eastAsia" w:ascii="宋体" w:hAnsi="宋体"/>
          <w:b/>
          <w:bCs/>
          <w:sz w:val="20"/>
          <w:szCs w:val="20"/>
        </w:rPr>
        <w:t xml:space="preserve">5</w:t>
      </w:r>
      <w:r>
        <w:rPr>
          <w:rFonts w:ascii="宋体" w:hAnsi="宋体"/>
          <w:b/>
          <w:bCs/>
          <w:sz w:val="20"/>
          <w:szCs w:val="20"/>
        </w:rPr>
        <w:t xml:space="preserve">）</w:t>
      </w:r>
      <w:r>
        <w:rPr>
          <w:rFonts w:hint="eastAsia" w:ascii="微软雅黑" w:hAnsi="微软雅黑" w:eastAsia="微软雅黑"/>
          <w:sz w:val="20"/>
          <w:szCs w:val="20"/>
        </w:rPr>
        <w:t xml:space="preserve">VPN</w:t>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75"/>
        <w:gridCol w:w="7209"/>
      </w:tblGrid>
      <w:tr>
        <w:trPr>
          <w:jc w:val="center"/>
          <w:trHeight w:val="148"/>
        </w:trPr>
        <w:tc>
          <w:tcPr>
            <w:tcW w:w="1575"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技术指标</w:t>
            </w:r>
            <w:r/>
          </w:p>
        </w:tc>
        <w:tc>
          <w:tcPr>
            <w:tcW w:w="7209" w:type="dxa"/>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指标要求</w:t>
            </w:r>
            <w:r/>
          </w:p>
        </w:tc>
      </w:tr>
      <w:tr>
        <w:trPr>
          <w:jc w:val="center"/>
          <w:trHeight w:val="339"/>
        </w:trPr>
        <w:tc>
          <w:tcPr>
            <w:tcW w:w="1575" w:type="dxa"/>
            <w:vAlign w:val="center"/>
            <w:textDirection w:val="lrTb"/>
            <w:noWrap w:val="false"/>
          </w:tcPr>
          <w:p>
            <w:pPr>
              <w:jc w:val="center"/>
              <w:rPr>
                <w:rFonts w:ascii="宋体" w:hAnsi="宋体" w:cs="微软雅黑"/>
                <w:sz w:val="18"/>
                <w:szCs w:val="18"/>
              </w:rPr>
            </w:pPr>
            <w:r>
              <w:rPr>
                <w:rFonts w:hint="eastAsia" w:ascii="宋体" w:hAnsi="宋体" w:cs="微软雅黑"/>
                <w:sz w:val="18"/>
                <w:szCs w:val="18"/>
              </w:rPr>
              <w:t xml:space="preserve">性能指标</w:t>
            </w:r>
            <w:r/>
          </w:p>
        </w:tc>
        <w:tc>
          <w:tcPr>
            <w:tcW w:w="7209" w:type="dxa"/>
            <w:textDirection w:val="lrTb"/>
            <w:noWrap w:val="false"/>
          </w:tcPr>
          <w:p>
            <w:pPr>
              <w:rPr>
                <w:rFonts w:ascii="宋体" w:hAnsi="宋体" w:cs="微软雅黑"/>
                <w:sz w:val="18"/>
                <w:szCs w:val="18"/>
              </w:rPr>
            </w:pPr>
            <w:r>
              <w:rPr>
                <w:rFonts w:hint="eastAsia" w:ascii="宋体" w:hAnsi="宋体" w:cs="微软雅黑"/>
                <w:sz w:val="18"/>
                <w:szCs w:val="18"/>
              </w:rPr>
              <w:t xml:space="preserve">▲</w:t>
            </w:r>
            <w:r>
              <w:rPr>
                <w:rFonts w:ascii="宋体" w:hAnsi="宋体" w:cs="微软雅黑"/>
                <w:sz w:val="18"/>
                <w:szCs w:val="18"/>
              </w:rPr>
              <w:t xml:space="preserve">性能参数：SSL最大理论加密流量（Mbps）</w:t>
            </w:r>
            <w:r>
              <w:rPr>
                <w:rFonts w:hint="eastAsia" w:ascii="宋体" w:hAnsi="宋体" w:cs="微软雅黑"/>
                <w:sz w:val="18"/>
                <w:szCs w:val="18"/>
              </w:rPr>
              <w:t xml:space="preserve">≥</w:t>
            </w:r>
            <w:r>
              <w:rPr>
                <w:rFonts w:ascii="宋体" w:hAnsi="宋体" w:cs="微软雅黑"/>
                <w:sz w:val="18"/>
                <w:szCs w:val="18"/>
              </w:rPr>
              <w:t xml:space="preserve">250Mbps，SSL最大理论并发用户数</w:t>
            </w:r>
            <w:r>
              <w:rPr>
                <w:rFonts w:hint="eastAsia" w:ascii="宋体" w:hAnsi="宋体" w:cs="微软雅黑"/>
                <w:sz w:val="18"/>
                <w:szCs w:val="18"/>
              </w:rPr>
              <w:t xml:space="preserve">≥</w:t>
            </w:r>
            <w:r>
              <w:rPr>
                <w:rFonts w:ascii="宋体" w:hAnsi="宋体" w:cs="微软雅黑"/>
                <w:sz w:val="18"/>
                <w:szCs w:val="18"/>
              </w:rPr>
              <w:t xml:space="preserve">400。</w:t>
            </w:r>
            <w:r/>
          </w:p>
          <w:p>
            <w:pPr>
              <w:rPr>
                <w:rFonts w:ascii="宋体" w:hAnsi="宋体" w:cs="微软雅黑"/>
                <w:sz w:val="18"/>
                <w:szCs w:val="18"/>
              </w:rPr>
            </w:pPr>
            <w:r>
              <w:rPr>
                <w:rFonts w:ascii="宋体" w:hAnsi="宋体" w:cs="微软雅黑"/>
                <w:sz w:val="18"/>
                <w:szCs w:val="18"/>
              </w:rPr>
              <w:t xml:space="preserve">硬件参数：</w:t>
            </w:r>
            <w:r>
              <w:rPr>
                <w:rFonts w:hint="eastAsia" w:ascii="宋体" w:hAnsi="宋体" w:cs="微软雅黑"/>
                <w:sz w:val="18"/>
                <w:szCs w:val="18"/>
              </w:rPr>
              <w:t xml:space="preserve">标准机架式设备</w:t>
            </w:r>
            <w:r>
              <w:rPr>
                <w:rFonts w:ascii="宋体" w:hAnsi="宋体" w:cs="微软雅黑"/>
                <w:sz w:val="18"/>
                <w:szCs w:val="18"/>
              </w:rPr>
              <w:t xml:space="preserve">，内存大小</w:t>
            </w:r>
            <w:r>
              <w:rPr>
                <w:rFonts w:hint="eastAsia" w:ascii="宋体" w:hAnsi="宋体" w:cs="微软雅黑"/>
                <w:sz w:val="18"/>
                <w:szCs w:val="18"/>
              </w:rPr>
              <w:t xml:space="preserve">≥</w:t>
            </w:r>
            <w:r>
              <w:rPr>
                <w:rFonts w:ascii="宋体" w:hAnsi="宋体" w:cs="微软雅黑"/>
                <w:sz w:val="18"/>
                <w:szCs w:val="18"/>
              </w:rPr>
              <w:t xml:space="preserve">8G，硬盘容量</w:t>
            </w:r>
            <w:r>
              <w:rPr>
                <w:rFonts w:hint="eastAsia" w:ascii="宋体" w:hAnsi="宋体" w:cs="微软雅黑"/>
                <w:sz w:val="18"/>
                <w:szCs w:val="18"/>
              </w:rPr>
              <w:t xml:space="preserve">≥</w:t>
            </w:r>
            <w:r>
              <w:rPr>
                <w:rFonts w:ascii="宋体" w:hAnsi="宋体" w:cs="微软雅黑"/>
                <w:sz w:val="18"/>
                <w:szCs w:val="18"/>
              </w:rPr>
              <w:t xml:space="preserve">128G minisata SSD，接口</w:t>
            </w:r>
            <w:r>
              <w:rPr>
                <w:rFonts w:hint="eastAsia" w:ascii="宋体" w:hAnsi="宋体" w:cs="微软雅黑"/>
                <w:sz w:val="18"/>
                <w:szCs w:val="18"/>
              </w:rPr>
              <w:t xml:space="preserve">≥</w:t>
            </w:r>
            <w:r>
              <w:rPr>
                <w:rFonts w:ascii="宋体" w:hAnsi="宋体" w:cs="微软雅黑"/>
                <w:sz w:val="18"/>
                <w:szCs w:val="18"/>
              </w:rPr>
              <w:t xml:space="preserve">4</w:t>
            </w:r>
            <w:r>
              <w:rPr>
                <w:rFonts w:hint="eastAsia" w:ascii="宋体" w:hAnsi="宋体" w:cs="微软雅黑"/>
                <w:sz w:val="18"/>
                <w:szCs w:val="18"/>
              </w:rPr>
              <w:t xml:space="preserve">个</w:t>
            </w:r>
            <w:r>
              <w:rPr>
                <w:rFonts w:ascii="宋体" w:hAnsi="宋体" w:cs="微软雅黑"/>
                <w:sz w:val="18"/>
                <w:szCs w:val="18"/>
              </w:rPr>
              <w:t xml:space="preserve">千兆电口</w:t>
            </w:r>
            <w:r>
              <w:rPr>
                <w:rFonts w:ascii="宋体" w:hAnsi="宋体" w:cs="微软雅黑"/>
                <w:sz w:val="18"/>
                <w:szCs w:val="18"/>
              </w:rPr>
              <w:t xml:space="preserve">。</w:t>
            </w:r>
            <w:r>
              <w:rPr>
                <w:rFonts w:hint="eastAsia" w:ascii="宋体" w:hAnsi="宋体" w:cs="微软雅黑"/>
                <w:sz w:val="18"/>
                <w:szCs w:val="18"/>
              </w:rPr>
              <w:t xml:space="preserve">此次配置5套零信任接入授权。提供三年质保服务。</w:t>
            </w:r>
            <w:r/>
          </w:p>
        </w:tc>
      </w:tr>
      <w:tr>
        <w:trPr>
          <w:jc w:val="center"/>
          <w:trHeight w:val="148"/>
        </w:trPr>
        <w:tc>
          <w:tcPr>
            <w:tcW w:w="1575" w:type="dxa"/>
            <w:vAlign w:val="center"/>
            <w:textDirection w:val="lrTb"/>
            <w:noWrap w:val="false"/>
          </w:tcPr>
          <w:p>
            <w:pPr>
              <w:jc w:val="center"/>
              <w:rPr>
                <w:rFonts w:ascii="宋体" w:hAnsi="宋体" w:cs="微软雅黑"/>
                <w:sz w:val="18"/>
                <w:szCs w:val="18"/>
              </w:rPr>
            </w:pPr>
            <w:r>
              <w:rPr>
                <w:rFonts w:hint="eastAsia" w:ascii="宋体" w:hAnsi="宋体" w:cs="微软雅黑"/>
                <w:sz w:val="18"/>
                <w:szCs w:val="18"/>
              </w:rPr>
              <w:t xml:space="preserve">应用打开方式</w:t>
            </w:r>
            <w:r/>
          </w:p>
        </w:tc>
        <w:tc>
          <w:tcPr>
            <w:tcW w:w="7209" w:type="dxa"/>
            <w:vAlign w:val="center"/>
            <w:textDirection w:val="lrTb"/>
            <w:noWrap w:val="false"/>
          </w:tcPr>
          <w:p>
            <w:pPr>
              <w:jc w:val="left"/>
              <w:rPr>
                <w:rFonts w:ascii="宋体" w:hAnsi="宋体" w:cs="微软雅黑"/>
                <w:sz w:val="18"/>
                <w:szCs w:val="18"/>
              </w:rPr>
            </w:pPr>
            <w:r>
              <w:rPr>
                <w:rFonts w:hint="eastAsia" w:ascii="宋体" w:hAnsi="宋体" w:cs="微软雅黑"/>
                <w:sz w:val="18"/>
                <w:szCs w:val="18"/>
              </w:rPr>
              <w:t xml:space="preserve">▲支持配置点击工作台的业务应用即可直接拉起对应的CS程序进行访问，包括但不限于浏览器、远程桌面或其他指定程序，支持Windows、macOS、统信UOS、麒麟kylin、Ubuntu等主流操作系统；针对Windows系统，还应支持拉起CS应用时携带启动参数，自动访问管理员设定的地址。</w:t>
            </w:r>
            <w:r>
              <w:rPr>
                <w:rFonts w:hint="eastAsia" w:ascii="宋体" w:hAnsi="宋体" w:cs="微软雅黑"/>
                <w:b/>
                <w:bCs/>
                <w:sz w:val="18"/>
                <w:szCs w:val="18"/>
                <w:lang w:val="zh-TW"/>
              </w:rPr>
              <w:t xml:space="preserve">（</w:t>
            </w:r>
            <w:r>
              <w:rPr>
                <w:rFonts w:hint="eastAsia" w:ascii="宋体" w:hAnsi="宋体" w:cs="微软雅黑"/>
                <w:b/>
                <w:bCs/>
                <w:sz w:val="18"/>
                <w:szCs w:val="18"/>
              </w:rPr>
              <w:t xml:space="preserve">需提供产品功能截图证明</w:t>
            </w:r>
            <w:r>
              <w:rPr>
                <w:rFonts w:hint="eastAsia" w:ascii="宋体" w:hAnsi="宋体" w:cs="微软雅黑"/>
                <w:b/>
                <w:bCs/>
                <w:sz w:val="18"/>
                <w:szCs w:val="18"/>
                <w:lang w:val="zh-TW"/>
              </w:rPr>
              <w:t xml:space="preserve">）</w:t>
            </w:r>
            <w:r/>
          </w:p>
        </w:tc>
      </w:tr>
      <w:tr>
        <w:trPr>
          <w:jc w:val="center"/>
          <w:trHeight w:val="368"/>
        </w:trPr>
        <w:tc>
          <w:tcPr>
            <w:tcW w:w="1575" w:type="dxa"/>
            <w:vAlign w:val="center"/>
            <w:textDirection w:val="lrTb"/>
            <w:noWrap w:val="false"/>
          </w:tcPr>
          <w:p>
            <w:pPr>
              <w:jc w:val="center"/>
              <w:rPr>
                <w:rFonts w:ascii="宋体" w:hAnsi="宋体" w:cs="微软雅黑"/>
                <w:sz w:val="18"/>
                <w:szCs w:val="18"/>
              </w:rPr>
            </w:pPr>
            <w:r>
              <w:rPr>
                <w:rFonts w:hint="eastAsia" w:ascii="宋体" w:hAnsi="宋体" w:cs="微软雅黑"/>
                <w:sz w:val="18"/>
                <w:szCs w:val="18"/>
              </w:rPr>
              <w:t xml:space="preserve">客户端国产终端兼容性</w:t>
            </w:r>
            <w:r/>
          </w:p>
        </w:tc>
        <w:tc>
          <w:tcPr>
            <w:tcW w:w="7209" w:type="dxa"/>
            <w:vAlign w:val="center"/>
            <w:textDirection w:val="lrTb"/>
            <w:noWrap w:val="false"/>
          </w:tcPr>
          <w:p>
            <w:pPr>
              <w:jc w:val="left"/>
              <w:rPr>
                <w:rFonts w:ascii="宋体" w:hAnsi="宋体" w:cs="微软雅黑"/>
                <w:sz w:val="18"/>
                <w:szCs w:val="18"/>
              </w:rPr>
            </w:pPr>
            <w:r>
              <w:rPr>
                <w:rFonts w:hint="eastAsia" w:ascii="宋体" w:hAnsi="宋体" w:cs="微软雅黑"/>
                <w:sz w:val="18"/>
                <w:szCs w:val="18"/>
              </w:rPr>
              <w:t xml:space="preserve">为了保障用户在国产化终端上的正常业务访问，零信任客户端应兼容主流国产硬件CPU的国产操作系统终端，需提供国产操作系统与零信任厂商的兼容性证明，包括但不限于麒麟V10×龙芯、麒麟V10×</w:t>
            </w:r>
            <w:r>
              <w:rPr>
                <w:rFonts w:hint="eastAsia" w:ascii="宋体" w:hAnsi="宋体" w:cs="微软雅黑"/>
                <w:sz w:val="18"/>
                <w:szCs w:val="18"/>
              </w:rPr>
              <w:t xml:space="preserve">龙芯</w:t>
            </w:r>
            <w:r>
              <w:rPr>
                <w:rFonts w:hint="eastAsia" w:ascii="宋体" w:hAnsi="宋体" w:cs="微软雅黑"/>
                <w:sz w:val="18"/>
                <w:szCs w:val="18"/>
              </w:rPr>
              <w:t xml:space="preserve">LoongArch、麒麟V10×飞腾、麒麟V10×鲲鹏、麒麟V10×兆芯、麒麟V10×海光、麒麟V10×</w:t>
            </w:r>
            <w:r>
              <w:rPr>
                <w:rFonts w:hint="eastAsia" w:ascii="宋体" w:hAnsi="宋体" w:cs="微软雅黑"/>
                <w:sz w:val="18"/>
                <w:szCs w:val="18"/>
              </w:rPr>
              <w:t xml:space="preserve">海思麒麟</w:t>
            </w:r>
            <w:r>
              <w:rPr>
                <w:rFonts w:hint="eastAsia" w:ascii="宋体" w:hAnsi="宋体" w:cs="微软雅黑"/>
                <w:sz w:val="18"/>
                <w:szCs w:val="18"/>
              </w:rPr>
              <w:t xml:space="preserve">；统信V20×龙芯（3A3000、3A4000）、统信V20×龙芯（3A5000）、统信V20×飞腾、统信V20×鲲鹏、统信V20×海光、统信V20×</w:t>
            </w:r>
            <w:r>
              <w:rPr>
                <w:rFonts w:hint="eastAsia" w:ascii="宋体" w:hAnsi="宋体" w:cs="微软雅黑"/>
                <w:sz w:val="18"/>
                <w:szCs w:val="18"/>
              </w:rPr>
              <w:t xml:space="preserve">兆芯等</w:t>
            </w:r>
            <w:r>
              <w:rPr>
                <w:rFonts w:hint="eastAsia" w:ascii="宋体" w:hAnsi="宋体" w:cs="微软雅黑"/>
                <w:sz w:val="18"/>
                <w:szCs w:val="18"/>
              </w:rPr>
              <w:t xml:space="preserve">。</w:t>
            </w:r>
            <w:r/>
          </w:p>
        </w:tc>
      </w:tr>
      <w:tr>
        <w:trPr>
          <w:jc w:val="center"/>
          <w:trHeight w:val="893"/>
        </w:trPr>
        <w:tc>
          <w:tcPr>
            <w:tcW w:w="1575" w:type="dxa"/>
            <w:vAlign w:val="center"/>
            <w:textDirection w:val="lrTb"/>
            <w:noWrap w:val="false"/>
          </w:tcPr>
          <w:p>
            <w:pPr>
              <w:jc w:val="center"/>
              <w:rPr>
                <w:rFonts w:ascii="宋体" w:hAnsi="宋体" w:cs="微软雅黑"/>
                <w:sz w:val="18"/>
                <w:szCs w:val="18"/>
              </w:rPr>
            </w:pPr>
            <w:r>
              <w:rPr>
                <w:rFonts w:hint="eastAsia" w:ascii="宋体" w:hAnsi="宋体" w:cs="微软雅黑"/>
                <w:sz w:val="18"/>
                <w:szCs w:val="18"/>
              </w:rPr>
              <w:t xml:space="preserve">CDN接入能力</w:t>
            </w:r>
            <w:r/>
          </w:p>
        </w:tc>
        <w:tc>
          <w:tcPr>
            <w:tcW w:w="7209" w:type="dxa"/>
            <w:vAlign w:val="center"/>
            <w:textDirection w:val="lrTb"/>
            <w:noWrap w:val="false"/>
          </w:tcPr>
          <w:p>
            <w:pPr>
              <w:jc w:val="left"/>
              <w:rPr>
                <w:rFonts w:ascii="宋体" w:hAnsi="宋体" w:cs="微软雅黑"/>
                <w:sz w:val="18"/>
                <w:szCs w:val="18"/>
              </w:rPr>
            </w:pPr>
            <w:r>
              <w:rPr>
                <w:rFonts w:hint="eastAsia" w:ascii="宋体" w:hAnsi="宋体" w:cs="微软雅黑"/>
                <w:sz w:val="18"/>
                <w:szCs w:val="18"/>
              </w:rPr>
              <w:t xml:space="preserve">▲支持配置企业的CDN作为零信任客户端下载地址，以降低设备本身的非业务访问带宽压力。</w:t>
            </w:r>
            <w:r>
              <w:rPr>
                <w:rFonts w:hint="eastAsia" w:ascii="宋体" w:hAnsi="宋体" w:cs="宋体"/>
                <w:b/>
                <w:bCs/>
                <w:sz w:val="20"/>
                <w:szCs w:val="20"/>
              </w:rPr>
              <w:t xml:space="preserve">（提供具有CMA认证的检测机构出具的检测报告扫描件）</w:t>
            </w:r>
            <w:r/>
          </w:p>
        </w:tc>
      </w:tr>
      <w:tr>
        <w:trPr>
          <w:jc w:val="center"/>
          <w:trHeight w:val="1531"/>
        </w:trPr>
        <w:tc>
          <w:tcPr>
            <w:tcW w:w="1575" w:type="dxa"/>
            <w:vAlign w:val="center"/>
            <w:textDirection w:val="lrTb"/>
            <w:noWrap w:val="false"/>
          </w:tcPr>
          <w:p>
            <w:pPr>
              <w:jc w:val="center"/>
              <w:rPr>
                <w:rFonts w:ascii="宋体" w:hAnsi="宋体" w:cs="微软雅黑"/>
                <w:sz w:val="18"/>
                <w:szCs w:val="18"/>
              </w:rPr>
            </w:pPr>
            <w:r>
              <w:rPr>
                <w:rFonts w:hint="eastAsia" w:ascii="宋体" w:hAnsi="宋体" w:cs="微软雅黑"/>
                <w:sz w:val="18"/>
                <w:szCs w:val="18"/>
              </w:rPr>
              <w:t xml:space="preserve">单点登录</w:t>
            </w:r>
            <w:r/>
          </w:p>
        </w:tc>
        <w:tc>
          <w:tcPr>
            <w:tcW w:w="7209" w:type="dxa"/>
            <w:vAlign w:val="center"/>
            <w:textDirection w:val="lrTb"/>
            <w:noWrap w:val="false"/>
          </w:tcPr>
          <w:p>
            <w:pPr>
              <w:jc w:val="left"/>
              <w:rPr>
                <w:rFonts w:ascii="宋体" w:hAnsi="宋体" w:cs="微软雅黑"/>
                <w:sz w:val="18"/>
                <w:szCs w:val="18"/>
              </w:rPr>
            </w:pPr>
            <w:r>
              <w:rPr>
                <w:rFonts w:hint="eastAsia" w:ascii="宋体" w:hAnsi="宋体" w:cs="微软雅黑"/>
                <w:sz w:val="18"/>
                <w:szCs w:val="18"/>
              </w:rPr>
              <w:t xml:space="preserve">支持</w:t>
            </w:r>
            <w:r>
              <w:rPr>
                <w:rFonts w:hint="eastAsia" w:ascii="宋体" w:hAnsi="宋体" w:cs="微软雅黑"/>
                <w:sz w:val="18"/>
                <w:szCs w:val="18"/>
              </w:rPr>
              <w:t xml:space="preserve">帐号</w:t>
            </w:r>
            <w:r>
              <w:rPr>
                <w:rFonts w:hint="eastAsia" w:ascii="宋体" w:hAnsi="宋体" w:cs="微软雅黑"/>
                <w:sz w:val="18"/>
                <w:szCs w:val="18"/>
              </w:rPr>
              <w:t xml:space="preserve">密码代填的单点登录功能，支持智能识别登录页面的用户名和密码输入框，根据设置的用户名密码规则自动填写WEB业务系统的</w:t>
            </w:r>
            <w:r>
              <w:rPr>
                <w:rFonts w:hint="eastAsia" w:ascii="宋体" w:hAnsi="宋体" w:cs="微软雅黑"/>
                <w:sz w:val="18"/>
                <w:szCs w:val="18"/>
              </w:rPr>
              <w:t xml:space="preserve">帐号</w:t>
            </w:r>
            <w:r>
              <w:rPr>
                <w:rFonts w:hint="eastAsia" w:ascii="宋体" w:hAnsi="宋体" w:cs="微软雅黑"/>
                <w:sz w:val="18"/>
                <w:szCs w:val="18"/>
              </w:rPr>
              <w:t xml:space="preserve">密码并登录；支持精准识别的代填模式，以业务登录界面的</w:t>
            </w:r>
            <w:r>
              <w:rPr>
                <w:rFonts w:hint="eastAsia" w:ascii="宋体" w:hAnsi="宋体" w:cs="微软雅黑"/>
                <w:sz w:val="18"/>
                <w:szCs w:val="18"/>
              </w:rPr>
              <w:t xml:space="preserve">帐号</w:t>
            </w:r>
            <w:r>
              <w:rPr>
                <w:rFonts w:hint="eastAsia" w:ascii="宋体" w:hAnsi="宋体" w:cs="微软雅黑"/>
                <w:sz w:val="18"/>
                <w:szCs w:val="18"/>
              </w:rPr>
              <w:t xml:space="preserve">输入框、密码输入框、登录按钮等作为匹配项，自定义精确匹配零信任用户名、密码、组织架构名、手机号、邮箱、邮箱前缀等值，也可以设置由终端用户自定义输入或管理员设定固定值登录。</w:t>
            </w:r>
            <w:r/>
          </w:p>
        </w:tc>
      </w:tr>
      <w:tr>
        <w:trPr>
          <w:jc w:val="center"/>
          <w:trHeight w:val="90"/>
        </w:trPr>
        <w:tc>
          <w:tcPr>
            <w:tcW w:w="1575" w:type="dxa"/>
            <w:vAlign w:val="center"/>
            <w:textDirection w:val="lrTb"/>
            <w:noWrap w:val="false"/>
          </w:tcPr>
          <w:p>
            <w:pPr>
              <w:jc w:val="center"/>
              <w:rPr>
                <w:rFonts w:ascii="宋体" w:hAnsi="宋体" w:cs="微软雅黑"/>
                <w:sz w:val="18"/>
                <w:szCs w:val="18"/>
                <w:lang w:val="zh-TW" w:eastAsia="zh-TW"/>
              </w:rPr>
            </w:pPr>
            <w:r>
              <w:rPr>
                <w:rFonts w:hint="eastAsia" w:ascii="宋体" w:hAnsi="宋体" w:cs="微软雅黑"/>
                <w:sz w:val="18"/>
                <w:szCs w:val="18"/>
              </w:rPr>
              <w:t xml:space="preserve">设备稳定性检查</w:t>
            </w:r>
            <w:r/>
          </w:p>
        </w:tc>
        <w:tc>
          <w:tcPr>
            <w:tcW w:w="7209" w:type="dxa"/>
            <w:vAlign w:val="center"/>
            <w:textDirection w:val="lrTb"/>
            <w:noWrap w:val="false"/>
          </w:tcPr>
          <w:p>
            <w:pPr>
              <w:jc w:val="left"/>
              <w:rPr>
                <w:rFonts w:ascii="宋体" w:hAnsi="宋体" w:cs="微软雅黑"/>
                <w:sz w:val="18"/>
                <w:szCs w:val="18"/>
              </w:rPr>
            </w:pPr>
            <w:r>
              <w:rPr>
                <w:rFonts w:hint="eastAsia" w:ascii="宋体" w:hAnsi="宋体" w:cs="微软雅黑"/>
                <w:sz w:val="18"/>
                <w:szCs w:val="18"/>
              </w:rPr>
              <w:t xml:space="preserve">包括但不限于：应支持系统黑匣子及核心进程的状态检测；应支持CPU负载、内存负载、磁盘空间、网卡健康、硬盘健康、网卡日志、BIOS固件等硬件相关状态的检测；</w:t>
            </w:r>
            <w:r>
              <w:rPr>
                <w:rFonts w:hint="eastAsia" w:ascii="宋体" w:hAnsi="宋体" w:cs="微软雅黑"/>
                <w:sz w:val="18"/>
                <w:szCs w:val="18"/>
              </w:rPr>
              <w:br/>
              <w:t xml:space="preserve">应支持软件版本及补丁修复状态等检测。</w:t>
            </w:r>
            <w:r/>
          </w:p>
        </w:tc>
      </w:tr>
      <w:tr>
        <w:trPr>
          <w:jc w:val="center"/>
          <w:trHeight w:val="104"/>
        </w:trPr>
        <w:tc>
          <w:tcPr>
            <w:tcW w:w="1575" w:type="dxa"/>
            <w:vAlign w:val="center"/>
            <w:textDirection w:val="lrTb"/>
            <w:noWrap w:val="false"/>
          </w:tcPr>
          <w:p>
            <w:pPr>
              <w:jc w:val="center"/>
              <w:rPr>
                <w:rFonts w:ascii="宋体" w:hAnsi="宋体" w:cs="微软雅黑"/>
                <w:sz w:val="18"/>
                <w:szCs w:val="18"/>
              </w:rPr>
            </w:pPr>
            <w:r>
              <w:rPr>
                <w:rFonts w:hint="eastAsia" w:ascii="宋体" w:hAnsi="宋体" w:cs="微软雅黑"/>
                <w:sz w:val="18"/>
                <w:szCs w:val="18"/>
              </w:rPr>
              <w:t xml:space="preserve">集群模式下授权漂移</w:t>
            </w:r>
            <w:r/>
          </w:p>
        </w:tc>
        <w:tc>
          <w:tcPr>
            <w:tcW w:w="7209" w:type="dxa"/>
            <w:vAlign w:val="center"/>
            <w:textDirection w:val="lrTb"/>
            <w:noWrap w:val="false"/>
          </w:tcPr>
          <w:p>
            <w:pPr>
              <w:jc w:val="left"/>
              <w:rPr>
                <w:rFonts w:ascii="宋体" w:hAnsi="宋体" w:cs="微软雅黑"/>
                <w:sz w:val="18"/>
                <w:szCs w:val="18"/>
              </w:rPr>
            </w:pPr>
            <w:r>
              <w:rPr>
                <w:rFonts w:hint="eastAsia" w:ascii="宋体" w:hAnsi="宋体" w:cs="微软雅黑"/>
                <w:sz w:val="18"/>
                <w:szCs w:val="18"/>
              </w:rPr>
              <w:t xml:space="preserve">▲为了保障系统的稳定性，集群节点故障后剩余节点仍能接管所有业务，本地</w:t>
            </w:r>
            <w:r>
              <w:rPr>
                <w:rFonts w:hint="eastAsia" w:ascii="宋体" w:hAnsi="宋体" w:cs="微软雅黑"/>
                <w:sz w:val="18"/>
                <w:szCs w:val="18"/>
              </w:rPr>
              <w:t xml:space="preserve">集群需支持</w:t>
            </w:r>
            <w:r>
              <w:rPr>
                <w:rFonts w:hint="eastAsia" w:ascii="宋体" w:hAnsi="宋体" w:cs="微软雅黑"/>
                <w:sz w:val="18"/>
                <w:szCs w:val="18"/>
              </w:rPr>
              <w:t xml:space="preserve">授权漂移机制：集群中的单节点故障后，集群的总授权数跟故障前保持一致。</w:t>
            </w:r>
            <w:r>
              <w:rPr>
                <w:rFonts w:hint="eastAsia" w:ascii="宋体" w:hAnsi="宋体" w:cs="宋体"/>
                <w:b/>
                <w:bCs/>
                <w:sz w:val="20"/>
                <w:szCs w:val="20"/>
              </w:rPr>
              <w:t xml:space="preserve">（提供具有CMA认证的检测机构出具的检测报告扫描件）</w:t>
            </w:r>
            <w:r/>
          </w:p>
        </w:tc>
      </w:tr>
      <w:tr>
        <w:trPr>
          <w:jc w:val="center"/>
          <w:trHeight w:val="569"/>
        </w:trPr>
        <w:tc>
          <w:tcPr>
            <w:tcW w:w="1575" w:type="dxa"/>
            <w:vAlign w:val="center"/>
            <w:textDirection w:val="lrTb"/>
            <w:noWrap w:val="false"/>
          </w:tcPr>
          <w:p>
            <w:pPr>
              <w:jc w:val="center"/>
              <w:rPr>
                <w:rFonts w:ascii="宋体" w:hAnsi="宋体" w:cs="微软雅黑"/>
                <w:sz w:val="18"/>
                <w:szCs w:val="18"/>
              </w:rPr>
            </w:pPr>
            <w:r>
              <w:rPr>
                <w:rFonts w:hint="eastAsia" w:ascii="宋体" w:hAnsi="宋体" w:cs="微软雅黑"/>
                <w:sz w:val="18"/>
                <w:szCs w:val="18"/>
              </w:rPr>
              <w:t xml:space="preserve">设备管理端口安全检查</w:t>
            </w:r>
            <w:r/>
          </w:p>
        </w:tc>
        <w:tc>
          <w:tcPr>
            <w:tcW w:w="7209" w:type="dxa"/>
            <w:vAlign w:val="center"/>
            <w:textDirection w:val="lrTb"/>
            <w:noWrap w:val="false"/>
          </w:tcPr>
          <w:p>
            <w:pPr>
              <w:jc w:val="left"/>
              <w:rPr>
                <w:rFonts w:ascii="宋体" w:hAnsi="宋体" w:cs="微软雅黑"/>
                <w:sz w:val="18"/>
                <w:szCs w:val="18"/>
                <w:lang w:val="zh-TW" w:eastAsia="zh-TW"/>
              </w:rPr>
            </w:pPr>
            <w:r>
              <w:rPr>
                <w:rFonts w:hint="eastAsia" w:ascii="宋体" w:hAnsi="宋体" w:cs="微软雅黑"/>
                <w:sz w:val="18"/>
                <w:szCs w:val="18"/>
              </w:rPr>
              <w:t xml:space="preserve">包括但不限于：支持远程运维SSH端口开启检查；支持控制台接入IP限制情况检查；</w:t>
            </w:r>
            <w:r>
              <w:rPr>
                <w:rFonts w:hint="eastAsia" w:ascii="宋体" w:hAnsi="宋体" w:cs="微软雅黑"/>
                <w:sz w:val="18"/>
                <w:szCs w:val="18"/>
              </w:rPr>
              <w:br/>
              <w:t xml:space="preserve">支持SNMP指定IP地址接入检查。</w:t>
            </w:r>
            <w:r/>
          </w:p>
        </w:tc>
      </w:tr>
      <w:tr>
        <w:trPr>
          <w:jc w:val="center"/>
          <w:trHeight w:val="926"/>
        </w:trPr>
        <w:tc>
          <w:tcPr>
            <w:tcW w:w="1575" w:type="dxa"/>
            <w:vAlign w:val="center"/>
            <w:vMerge w:val="restart"/>
            <w:textDirection w:val="lrTb"/>
            <w:noWrap w:val="false"/>
          </w:tcPr>
          <w:p>
            <w:pPr>
              <w:jc w:val="center"/>
              <w:rPr>
                <w:rFonts w:ascii="宋体" w:hAnsi="宋体" w:cs="微软雅黑"/>
                <w:sz w:val="18"/>
                <w:szCs w:val="18"/>
              </w:rPr>
            </w:pPr>
            <w:r>
              <w:rPr>
                <w:rFonts w:hint="eastAsia" w:ascii="宋体" w:hAnsi="宋体" w:cs="微软雅黑"/>
                <w:sz w:val="18"/>
                <w:szCs w:val="18"/>
              </w:rPr>
              <w:t xml:space="preserve">虚拟IP</w:t>
            </w:r>
            <w:r/>
          </w:p>
        </w:tc>
        <w:tc>
          <w:tcPr>
            <w:tcW w:w="7209" w:type="dxa"/>
            <w:vAlign w:val="center"/>
            <w:textDirection w:val="lrTb"/>
            <w:noWrap w:val="false"/>
          </w:tcPr>
          <w:p>
            <w:pPr>
              <w:jc w:val="left"/>
              <w:rPr>
                <w:rFonts w:ascii="宋体" w:hAnsi="宋体" w:cs="微软雅黑"/>
                <w:sz w:val="18"/>
                <w:szCs w:val="18"/>
              </w:rPr>
            </w:pPr>
            <w:r>
              <w:rPr>
                <w:rFonts w:hint="eastAsia" w:ascii="宋体" w:hAnsi="宋体" w:cs="微软雅黑"/>
                <w:sz w:val="18"/>
                <w:szCs w:val="18"/>
              </w:rPr>
              <w:t xml:space="preserve">▲支持共享虚拟IP池模式，为用户</w:t>
            </w:r>
            <w:r>
              <w:rPr>
                <w:rFonts w:hint="eastAsia" w:ascii="宋体" w:hAnsi="宋体" w:cs="微软雅黑"/>
                <w:sz w:val="18"/>
                <w:szCs w:val="18"/>
              </w:rPr>
              <w:t xml:space="preserve">组分配</w:t>
            </w:r>
            <w:r>
              <w:rPr>
                <w:rFonts w:hint="eastAsia" w:ascii="宋体" w:hAnsi="宋体" w:cs="微软雅黑"/>
                <w:sz w:val="18"/>
                <w:szCs w:val="18"/>
              </w:rPr>
              <w:t xml:space="preserve">一个IP地址段，用户组内的用户首次连接时分配一个IP端内的虚拟IP。支持独享虚拟IP模式，可配置一个独享IP池，在独享IP池中为用户分配指定的虚拟IP地址，在独享资源池中给用户绑定的虚拟IP不会释放。</w:t>
            </w:r>
            <w:r>
              <w:rPr>
                <w:rFonts w:hint="eastAsia" w:ascii="宋体" w:hAnsi="宋体" w:cs="微软雅黑"/>
                <w:sz w:val="18"/>
                <w:szCs w:val="18"/>
              </w:rPr>
              <w:t xml:space="preserve">（</w:t>
            </w:r>
            <w:r>
              <w:rPr>
                <w:rFonts w:hint="eastAsia" w:ascii="宋体" w:hAnsi="宋体" w:cs="宋体"/>
                <w:b/>
                <w:bCs/>
                <w:sz w:val="20"/>
                <w:szCs w:val="20"/>
              </w:rPr>
              <w:t xml:space="preserve">提供具有CMA认证的检测机构出具的检测报告扫描件</w:t>
            </w:r>
            <w:r>
              <w:rPr>
                <w:rFonts w:hint="eastAsia" w:ascii="宋体" w:hAnsi="宋体" w:cs="微软雅黑"/>
                <w:sz w:val="18"/>
                <w:szCs w:val="18"/>
              </w:rPr>
              <w:t xml:space="preserve">）</w:t>
            </w:r>
            <w:r/>
          </w:p>
        </w:tc>
      </w:tr>
      <w:tr>
        <w:trPr>
          <w:jc w:val="center"/>
          <w:trHeight w:val="488"/>
        </w:trPr>
        <w:tc>
          <w:tcPr>
            <w:tcW w:w="1575" w:type="dxa"/>
            <w:vAlign w:val="center"/>
            <w:vMerge w:val="continue"/>
            <w:textDirection w:val="lrTb"/>
            <w:noWrap w:val="false"/>
          </w:tcPr>
          <w:p>
            <w:pPr>
              <w:jc w:val="center"/>
              <w:rPr>
                <w:rFonts w:ascii="宋体" w:hAnsi="宋体" w:cs="微软雅黑"/>
                <w:sz w:val="18"/>
                <w:szCs w:val="18"/>
              </w:rPr>
            </w:pPr>
            <w:r>
              <w:rPr>
                <w:rFonts w:ascii="宋体" w:hAnsi="宋体" w:cs="微软雅黑"/>
                <w:sz w:val="18"/>
                <w:szCs w:val="18"/>
              </w:rPr>
            </w:r>
            <w:r/>
          </w:p>
        </w:tc>
        <w:tc>
          <w:tcPr>
            <w:tcW w:w="7209" w:type="dxa"/>
            <w:textDirection w:val="lrTb"/>
            <w:noWrap w:val="false"/>
          </w:tcPr>
          <w:p>
            <w:pPr>
              <w:jc w:val="left"/>
              <w:rPr>
                <w:rFonts w:ascii="宋体" w:hAnsi="宋体" w:cs="微软雅黑"/>
                <w:sz w:val="18"/>
                <w:szCs w:val="18"/>
              </w:rPr>
            </w:pPr>
            <w:r>
              <w:rPr>
                <w:rFonts w:hint="eastAsia" w:ascii="宋体" w:hAnsi="宋体" w:cs="微软雅黑"/>
                <w:sz w:val="18"/>
                <w:szCs w:val="18"/>
              </w:rPr>
              <w:t xml:space="preserve">为保证厂商安全水平，厂商应为国家信息安全漏洞共享平台(CNVD)技术组成员和用户组成员。（需</w:t>
            </w:r>
            <w:r>
              <w:rPr>
                <w:rFonts w:hint="eastAsia" w:ascii="宋体" w:hAnsi="宋体" w:cs="微软雅黑"/>
                <w:sz w:val="18"/>
                <w:szCs w:val="18"/>
              </w:rPr>
              <w:t xml:space="preserve">提供官网查询</w:t>
            </w:r>
            <w:r>
              <w:rPr>
                <w:rFonts w:hint="eastAsia" w:ascii="宋体" w:hAnsi="宋体" w:cs="微软雅黑"/>
                <w:sz w:val="18"/>
                <w:szCs w:val="18"/>
              </w:rPr>
              <w:t xml:space="preserve">截图证明）</w:t>
            </w:r>
            <w:r/>
          </w:p>
        </w:tc>
      </w:tr>
      <w:tr>
        <w:trPr>
          <w:jc w:val="center"/>
          <w:trHeight w:val="488"/>
        </w:trPr>
        <w:tc>
          <w:tcPr>
            <w:tcW w:w="1575" w:type="dxa"/>
            <w:vAlign w:val="center"/>
            <w:vMerge w:val="continue"/>
            <w:textDirection w:val="lrTb"/>
            <w:noWrap w:val="false"/>
          </w:tcPr>
          <w:p>
            <w:pPr>
              <w:jc w:val="center"/>
              <w:rPr>
                <w:rFonts w:ascii="宋体" w:hAnsi="宋体" w:cs="微软雅黑"/>
                <w:sz w:val="18"/>
                <w:szCs w:val="18"/>
              </w:rPr>
            </w:pPr>
            <w:r>
              <w:rPr>
                <w:rFonts w:ascii="宋体" w:hAnsi="宋体" w:cs="微软雅黑"/>
                <w:sz w:val="18"/>
                <w:szCs w:val="18"/>
              </w:rPr>
            </w:r>
            <w:r/>
          </w:p>
        </w:tc>
        <w:tc>
          <w:tcPr>
            <w:tcW w:w="7209" w:type="dxa"/>
            <w:textDirection w:val="lrTb"/>
            <w:noWrap w:val="false"/>
          </w:tcPr>
          <w:p>
            <w:pPr>
              <w:jc w:val="left"/>
              <w:rPr>
                <w:rFonts w:ascii="宋体" w:hAnsi="宋体" w:cs="微软雅黑"/>
                <w:sz w:val="18"/>
                <w:szCs w:val="18"/>
              </w:rPr>
            </w:pPr>
            <w:r>
              <w:rPr>
                <w:rFonts w:hint="eastAsia" w:ascii="宋体" w:hAnsi="宋体" w:cs="微软雅黑"/>
                <w:sz w:val="18"/>
                <w:szCs w:val="18"/>
              </w:rPr>
              <w:t xml:space="preserve">所投厂商应具备较强的技术实力和数据中心安全服务能力，需为国家互联网应急中心（CNCERT）应急服务支撑单位（甲级）成员。（需</w:t>
            </w:r>
            <w:r>
              <w:rPr>
                <w:rFonts w:hint="eastAsia" w:ascii="宋体" w:hAnsi="宋体" w:cs="宋体"/>
                <w:b/>
                <w:bCs/>
                <w:sz w:val="20"/>
                <w:szCs w:val="20"/>
              </w:rPr>
              <w:t xml:space="preserve">提供官网查询</w:t>
            </w:r>
            <w:r>
              <w:rPr>
                <w:rFonts w:hint="eastAsia" w:ascii="宋体" w:hAnsi="宋体" w:cs="宋体"/>
                <w:b/>
                <w:bCs/>
                <w:sz w:val="20"/>
                <w:szCs w:val="20"/>
              </w:rPr>
              <w:t xml:space="preserve">截</w:t>
            </w:r>
            <w:r>
              <w:rPr>
                <w:rFonts w:hint="eastAsia" w:ascii="宋体" w:hAnsi="宋体" w:cs="宋体"/>
                <w:b/>
                <w:bCs/>
                <w:sz w:val="20"/>
                <w:szCs w:val="20"/>
              </w:rPr>
              <w:t xml:space="preserve">图证明</w:t>
            </w:r>
            <w:r>
              <w:rPr>
                <w:rFonts w:hint="eastAsia" w:ascii="宋体" w:hAnsi="宋体" w:cs="宋体"/>
                <w:b/>
                <w:bCs/>
                <w:sz w:val="20"/>
                <w:szCs w:val="20"/>
              </w:rPr>
              <w:t xml:space="preserve">扫描件</w:t>
            </w:r>
            <w:r>
              <w:rPr>
                <w:rFonts w:hint="eastAsia" w:ascii="宋体" w:hAnsi="宋体" w:cs="微软雅黑"/>
                <w:sz w:val="18"/>
                <w:szCs w:val="18"/>
              </w:rPr>
              <w:t xml:space="preserve">）</w:t>
            </w:r>
            <w:r/>
          </w:p>
        </w:tc>
      </w:tr>
    </w:tbl>
    <w:p>
      <w:pPr>
        <w:rPr>
          <w:rFonts w:ascii="宋体" w:hAnsi="宋体"/>
          <w:sz w:val="15"/>
          <w:szCs w:val="15"/>
          <w:highlight w:val="yellow"/>
        </w:rPr>
      </w:pPr>
      <w:r>
        <w:rPr>
          <w:rFonts w:ascii="宋体" w:hAnsi="宋体"/>
          <w:sz w:val="15"/>
          <w:szCs w:val="15"/>
          <w:highlight w:val="yellow"/>
        </w:rPr>
      </w:r>
      <w:r/>
    </w:p>
    <w:p>
      <w:pPr>
        <w:pStyle w:val="731"/>
        <w:spacing w:before="0" w:after="0"/>
        <w:rPr>
          <w:rFonts w:ascii="宋体" w:hAnsi="宋体"/>
          <w:bCs/>
          <w:sz w:val="20"/>
          <w:szCs w:val="20"/>
        </w:rPr>
      </w:pPr>
      <w:r>
        <w:rPr>
          <w:rFonts w:hint="eastAsia" w:ascii="宋体" w:hAnsi="宋体"/>
          <w:b/>
          <w:bCs/>
          <w:sz w:val="20"/>
          <w:szCs w:val="20"/>
        </w:rPr>
        <w:t xml:space="preserve">6</w:t>
      </w:r>
      <w:r>
        <w:rPr>
          <w:rFonts w:hint="eastAsia" w:ascii="宋体" w:hAnsi="宋体"/>
          <w:b/>
          <w:bCs/>
          <w:sz w:val="20"/>
          <w:szCs w:val="20"/>
        </w:rPr>
        <w:t xml:space="preserve">）</w:t>
      </w:r>
      <w:r>
        <w:rPr>
          <w:rFonts w:hint="eastAsia"/>
          <w:sz w:val="22"/>
          <w:szCs w:val="20"/>
        </w:rPr>
        <w:t xml:space="preserve">EDR</w:t>
      </w:r>
      <w:r>
        <w:rPr>
          <w:rFonts w:hint="eastAsia" w:ascii="宋体" w:hAnsi="宋体" w:eastAsia="宋体" w:cs="宋体"/>
          <w:sz w:val="18"/>
          <w:szCs w:val="18"/>
          <w:lang w:bidi="ar"/>
        </w:rPr>
        <w:t xml:space="preserve">终端防护杀毒</w:t>
      </w:r>
      <w:r/>
    </w:p>
    <w:tbl>
      <w:tblPr>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93"/>
        <w:gridCol w:w="7149"/>
      </w:tblGrid>
      <w:tr>
        <w:trPr>
          <w:jc w:val="center"/>
          <w:trHeight w:val="187"/>
        </w:trPr>
        <w:tc>
          <w:tcPr>
            <w:tcW w:w="1493" w:type="dxa"/>
            <w:vAlign w:val="center"/>
            <w:textDirection w:val="lrTb"/>
            <w:noWrap w:val="false"/>
          </w:tcPr>
          <w:p>
            <w:pPr>
              <w:jc w:val="center"/>
              <w:rPr>
                <w:rFonts w:ascii="宋体" w:hAnsi="宋体" w:cs="宋体"/>
                <w:b/>
                <w:bCs/>
                <w:szCs w:val="20"/>
              </w:rPr>
            </w:pPr>
            <w:r>
              <w:rPr>
                <w:rFonts w:hint="eastAsia" w:ascii="宋体" w:hAnsi="宋体" w:cs="宋体"/>
                <w:b/>
                <w:sz w:val="18"/>
                <w:szCs w:val="18"/>
              </w:rPr>
              <w:t xml:space="preserve">指标项</w:t>
            </w:r>
            <w:r/>
          </w:p>
        </w:tc>
        <w:tc>
          <w:tcPr>
            <w:tcW w:w="7149" w:type="dxa"/>
            <w:vAlign w:val="center"/>
            <w:textDirection w:val="lrTb"/>
            <w:noWrap w:val="false"/>
          </w:tcPr>
          <w:p>
            <w:pPr>
              <w:jc w:val="center"/>
              <w:rPr>
                <w:rFonts w:ascii="宋体" w:hAnsi="宋体" w:cs="宋体"/>
                <w:b/>
                <w:bCs/>
                <w:szCs w:val="20"/>
              </w:rPr>
            </w:pPr>
            <w:r>
              <w:rPr>
                <w:rFonts w:hint="eastAsia" w:ascii="宋体" w:hAnsi="宋体" w:cs="宋体"/>
                <w:b/>
                <w:sz w:val="18"/>
                <w:szCs w:val="18"/>
              </w:rPr>
              <w:t xml:space="preserve">描述</w:t>
            </w:r>
            <w:r/>
          </w:p>
        </w:tc>
      </w:tr>
      <w:tr>
        <w:trPr>
          <w:jc w:val="center"/>
          <w:trHeight w:val="90"/>
        </w:trPr>
        <w:tc>
          <w:tcPr>
            <w:tcW w:w="1493"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控制中心</w:t>
            </w:r>
            <w:r/>
          </w:p>
        </w:tc>
        <w:tc>
          <w:tcPr>
            <w:tcW w:w="7149" w:type="dxa"/>
            <w:vAlign w:val="center"/>
            <w:textDirection w:val="lrTb"/>
            <w:noWrap w:val="false"/>
          </w:tcPr>
          <w:p>
            <w:pPr>
              <w:rPr>
                <w:rFonts w:ascii="宋体" w:hAnsi="宋体"/>
                <w:sz w:val="18"/>
                <w:szCs w:val="20"/>
              </w:rPr>
            </w:pPr>
            <w:r>
              <w:rPr>
                <w:rFonts w:hint="eastAsia" w:ascii="宋体" w:hAnsi="宋体"/>
                <w:sz w:val="18"/>
                <w:szCs w:val="20"/>
              </w:rPr>
              <w:t xml:space="preserve">产品以纯软件方式交付，系统配置主控</w:t>
            </w:r>
            <w:r>
              <w:rPr>
                <w:sz w:val="18"/>
                <w:szCs w:val="18"/>
              </w:rPr>
              <w:t xml:space="preserve">端程序</w:t>
            </w:r>
            <w:r>
              <w:rPr>
                <w:rFonts w:hint="eastAsia" w:ascii="宋体" w:hAnsi="宋体"/>
                <w:sz w:val="18"/>
                <w:szCs w:val="20"/>
              </w:rPr>
              <w:t xml:space="preserve">，控制中心支持虚拟化部署、</w:t>
            </w:r>
            <w:r>
              <w:rPr>
                <w:rFonts w:hint="eastAsia" w:ascii="宋体" w:hAnsi="宋体"/>
                <w:sz w:val="18"/>
                <w:szCs w:val="20"/>
              </w:rPr>
              <w:t xml:space="preserve">云化部署</w:t>
            </w:r>
            <w:r>
              <w:rPr>
                <w:rFonts w:hint="eastAsia" w:ascii="宋体" w:hAnsi="宋体"/>
                <w:sz w:val="18"/>
                <w:szCs w:val="20"/>
              </w:rPr>
              <w:t xml:space="preserve">；</w:t>
            </w:r>
            <w:r>
              <w:rPr>
                <w:rFonts w:hint="eastAsia" w:ascii="宋体" w:hAnsi="宋体"/>
                <w:sz w:val="18"/>
                <w:szCs w:val="20"/>
              </w:rPr>
              <w:t xml:space="preserve">支持单例部署</w:t>
            </w:r>
            <w:r>
              <w:rPr>
                <w:rFonts w:hint="eastAsia" w:ascii="宋体" w:hAnsi="宋体"/>
                <w:sz w:val="18"/>
                <w:szCs w:val="20"/>
              </w:rPr>
              <w:t xml:space="preserve">、集群部署。</w:t>
            </w:r>
            <w:r/>
          </w:p>
        </w:tc>
      </w:tr>
      <w:tr>
        <w:trPr>
          <w:jc w:val="center"/>
          <w:trHeight w:val="90"/>
        </w:trPr>
        <w:tc>
          <w:tcPr>
            <w:tcW w:w="1493"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配置</w:t>
            </w:r>
            <w:r/>
          </w:p>
        </w:tc>
        <w:tc>
          <w:tcPr>
            <w:tcW w:w="7149" w:type="dxa"/>
            <w:vAlign w:val="center"/>
            <w:textDirection w:val="lrTb"/>
            <w:noWrap w:val="false"/>
          </w:tcPr>
          <w:p>
            <w:pPr>
              <w:rPr>
                <w:rFonts w:ascii="宋体" w:hAnsi="宋体"/>
                <w:sz w:val="18"/>
                <w:szCs w:val="20"/>
              </w:rPr>
            </w:pPr>
            <w:r>
              <w:rPr>
                <w:rFonts w:hint="eastAsia" w:ascii="宋体" w:hAnsi="宋体" w:cs="宋体"/>
                <w:sz w:val="18"/>
                <w:szCs w:val="18"/>
              </w:rPr>
              <w:t xml:space="preserve">▲</w:t>
            </w:r>
            <w:r>
              <w:rPr>
                <w:rFonts w:hint="eastAsia" w:ascii="宋体" w:hAnsi="宋体"/>
                <w:sz w:val="18"/>
                <w:szCs w:val="20"/>
              </w:rPr>
              <w:t xml:space="preserve">此次提供客户端基础点位授权不小于300个，三年特征库升级和技术支持服务。系统配置病毒查杀、资产管理、运维管理、外设管理、非法外联监控、网络管理、终端响应、日志管理等功能模块。</w:t>
            </w:r>
            <w:r/>
          </w:p>
        </w:tc>
      </w:tr>
      <w:tr>
        <w:trPr>
          <w:jc w:val="center"/>
          <w:trHeight w:val="280"/>
        </w:trPr>
        <w:tc>
          <w:tcPr>
            <w:tcW w:w="1493" w:type="dxa"/>
            <w:vAlign w:val="center"/>
            <w:vMerge w:val="restart"/>
            <w:textDirection w:val="lrTb"/>
            <w:noWrap w:val="false"/>
          </w:tcPr>
          <w:p>
            <w:pPr>
              <w:jc w:val="center"/>
              <w:rPr>
                <w:rFonts w:ascii="宋体" w:hAnsi="宋体"/>
                <w:b/>
                <w:sz w:val="18"/>
                <w:szCs w:val="18"/>
              </w:rPr>
            </w:pPr>
            <w:r>
              <w:rPr>
                <w:rFonts w:hint="eastAsia" w:ascii="宋体" w:hAnsi="宋体"/>
                <w:b/>
                <w:sz w:val="18"/>
                <w:szCs w:val="18"/>
              </w:rPr>
              <w:t xml:space="preserve">客户端兼容性</w:t>
            </w:r>
            <w:r/>
          </w:p>
        </w:tc>
        <w:tc>
          <w:tcPr>
            <w:tcW w:w="7149" w:type="dxa"/>
            <w:vAlign w:val="center"/>
            <w:textDirection w:val="lrTb"/>
            <w:noWrap w:val="false"/>
          </w:tcPr>
          <w:p>
            <w:pPr>
              <w:rPr>
                <w:rFonts w:ascii="宋体" w:hAnsi="宋体"/>
                <w:sz w:val="18"/>
                <w:szCs w:val="20"/>
              </w:rPr>
            </w:pPr>
            <w:r>
              <w:rPr>
                <w:rFonts w:hint="eastAsia" w:ascii="宋体" w:hAnsi="宋体"/>
                <w:sz w:val="18"/>
                <w:szCs w:val="20"/>
              </w:rPr>
              <w:t xml:space="preserve">支持安装在CentOS、欧拉及国产化系统中安装，采用Web方式进行管理。</w:t>
            </w:r>
            <w:r/>
          </w:p>
        </w:tc>
      </w:tr>
      <w:tr>
        <w:trPr>
          <w:jc w:val="center"/>
          <w:trHeight w:val="280"/>
        </w:trPr>
        <w:tc>
          <w:tcPr>
            <w:tcW w:w="1493" w:type="dxa"/>
            <w:vAlign w:val="center"/>
            <w:vMerge w:val="continue"/>
            <w:textDirection w:val="lrTb"/>
            <w:noWrap w:val="false"/>
          </w:tcPr>
          <w:p>
            <w:pPr>
              <w:jc w:val="center"/>
              <w:rPr>
                <w:rFonts w:ascii="宋体" w:hAnsi="宋体"/>
                <w:b/>
                <w:sz w:val="18"/>
                <w:szCs w:val="18"/>
              </w:rPr>
            </w:pPr>
            <w:r>
              <w:rPr>
                <w:rFonts w:ascii="宋体" w:hAnsi="宋体"/>
                <w:b/>
                <w:sz w:val="18"/>
                <w:szCs w:val="18"/>
              </w:rPr>
            </w:r>
            <w:r/>
          </w:p>
        </w:tc>
        <w:tc>
          <w:tcPr>
            <w:tcW w:w="7149" w:type="dxa"/>
            <w:vAlign w:val="center"/>
            <w:textDirection w:val="lrTb"/>
            <w:noWrap w:val="false"/>
          </w:tcPr>
          <w:p>
            <w:pPr>
              <w:rPr>
                <w:rFonts w:ascii="宋体" w:hAnsi="宋体"/>
                <w:sz w:val="18"/>
                <w:szCs w:val="20"/>
              </w:rPr>
            </w:pPr>
            <w:r>
              <w:rPr>
                <w:rFonts w:hint="eastAsia" w:ascii="宋体" w:hAnsi="宋体"/>
                <w:sz w:val="18"/>
                <w:szCs w:val="20"/>
              </w:rPr>
              <w:t xml:space="preserve">需支持</w:t>
            </w:r>
            <w:r>
              <w:rPr>
                <w:rFonts w:hint="eastAsia" w:ascii="宋体" w:hAnsi="宋体"/>
                <w:sz w:val="18"/>
                <w:szCs w:val="20"/>
              </w:rPr>
              <w:t xml:space="preserve">主流windows，Linux操作系统</w:t>
            </w:r>
            <w:r/>
          </w:p>
        </w:tc>
      </w:tr>
      <w:tr>
        <w:trPr>
          <w:jc w:val="center"/>
          <w:trHeight w:val="280"/>
        </w:trPr>
        <w:tc>
          <w:tcPr>
            <w:tcW w:w="1493" w:type="dxa"/>
            <w:vAlign w:val="center"/>
            <w:vMerge w:val="continue"/>
            <w:textDirection w:val="lrTb"/>
            <w:noWrap w:val="false"/>
          </w:tcPr>
          <w:p>
            <w:pPr>
              <w:jc w:val="center"/>
              <w:rPr>
                <w:rFonts w:ascii="宋体" w:hAnsi="宋体"/>
                <w:b/>
                <w:sz w:val="18"/>
                <w:szCs w:val="18"/>
              </w:rPr>
            </w:pPr>
            <w:r>
              <w:rPr>
                <w:rFonts w:ascii="宋体" w:hAnsi="宋体"/>
                <w:b/>
                <w:sz w:val="18"/>
                <w:szCs w:val="18"/>
              </w:rPr>
            </w:r>
            <w:r/>
          </w:p>
        </w:tc>
        <w:tc>
          <w:tcPr>
            <w:tcW w:w="7149" w:type="dxa"/>
            <w:textDirection w:val="lrTb"/>
            <w:noWrap w:val="false"/>
          </w:tcPr>
          <w:p>
            <w:pPr>
              <w:rPr>
                <w:rFonts w:ascii="宋体" w:hAnsi="宋体"/>
                <w:sz w:val="18"/>
                <w:szCs w:val="20"/>
              </w:rPr>
            </w:pPr>
            <w:r>
              <w:rPr>
                <w:rFonts w:hint="eastAsia" w:ascii="宋体" w:hAnsi="宋体"/>
                <w:sz w:val="18"/>
                <w:szCs w:val="20"/>
              </w:rPr>
              <w:t xml:space="preserve">支持客户端离线打包安装、命令行安装、下载器安装、Portal引导安装。</w:t>
            </w:r>
            <w:r/>
          </w:p>
        </w:tc>
      </w:tr>
      <w:tr>
        <w:trPr>
          <w:jc w:val="center"/>
          <w:trHeight w:val="239"/>
        </w:trPr>
        <w:tc>
          <w:tcPr>
            <w:tcW w:w="1493" w:type="dxa"/>
            <w:vAlign w:val="center"/>
            <w:vMerge w:val="restart"/>
            <w:textDirection w:val="lrTb"/>
            <w:noWrap w:val="false"/>
          </w:tcPr>
          <w:p>
            <w:pPr>
              <w:jc w:val="center"/>
              <w:rPr>
                <w:rFonts w:ascii="宋体" w:hAnsi="宋体"/>
                <w:b/>
                <w:sz w:val="18"/>
                <w:szCs w:val="18"/>
              </w:rPr>
            </w:pPr>
            <w:r>
              <w:rPr>
                <w:rFonts w:hint="eastAsia" w:ascii="宋体" w:hAnsi="宋体"/>
                <w:b/>
                <w:sz w:val="18"/>
                <w:szCs w:val="18"/>
              </w:rPr>
              <w:t xml:space="preserve">资产清点</w:t>
            </w:r>
            <w:r/>
          </w:p>
        </w:tc>
        <w:tc>
          <w:tcPr>
            <w:tcW w:w="7149" w:type="dxa"/>
            <w:textDirection w:val="lrTb"/>
            <w:noWrap w:val="false"/>
          </w:tcPr>
          <w:p>
            <w:pPr>
              <w:rPr>
                <w:rFonts w:ascii="宋体" w:hAnsi="宋体"/>
                <w:sz w:val="18"/>
                <w:szCs w:val="20"/>
              </w:rPr>
            </w:pPr>
            <w:r>
              <w:rPr>
                <w:rFonts w:hint="eastAsia" w:ascii="宋体" w:hAnsi="宋体"/>
                <w:sz w:val="18"/>
                <w:szCs w:val="20"/>
              </w:rPr>
              <w:t xml:space="preserve">支持对单个终端运行信息进行清点，包括：运行进程信息、应用信息列表、服务列表、账户列表、启动项列表、网络连接列表、开放端口列表、WEB应用列表、环境变量信息列表</w:t>
            </w:r>
            <w:r/>
          </w:p>
        </w:tc>
      </w:tr>
      <w:tr>
        <w:trPr>
          <w:jc w:val="center"/>
          <w:trHeight w:val="619"/>
        </w:trPr>
        <w:tc>
          <w:tcPr>
            <w:tcW w:w="1493" w:type="dxa"/>
            <w:vAlign w:val="center"/>
            <w:vMerge w:val="continue"/>
            <w:textDirection w:val="lrTb"/>
            <w:noWrap w:val="false"/>
          </w:tcPr>
          <w:p>
            <w:pPr>
              <w:jc w:val="center"/>
              <w:rPr>
                <w:rFonts w:ascii="宋体" w:hAnsi="宋体"/>
                <w:b/>
                <w:sz w:val="18"/>
                <w:szCs w:val="18"/>
              </w:rPr>
            </w:pPr>
            <w:r>
              <w:rPr>
                <w:rFonts w:ascii="宋体" w:hAnsi="宋体"/>
                <w:b/>
                <w:sz w:val="18"/>
                <w:szCs w:val="18"/>
              </w:rPr>
            </w:r>
            <w:r/>
          </w:p>
        </w:tc>
        <w:tc>
          <w:tcPr>
            <w:tcW w:w="7149" w:type="dxa"/>
            <w:textDirection w:val="lrTb"/>
            <w:noWrap w:val="false"/>
          </w:tcPr>
          <w:p>
            <w:pPr>
              <w:rPr>
                <w:rFonts w:ascii="宋体" w:hAnsi="宋体"/>
                <w:sz w:val="18"/>
                <w:szCs w:val="20"/>
              </w:rPr>
            </w:pPr>
            <w:r>
              <w:rPr>
                <w:rFonts w:hint="eastAsia" w:ascii="宋体" w:hAnsi="宋体"/>
                <w:sz w:val="18"/>
                <w:szCs w:val="20"/>
              </w:rPr>
              <w:t xml:space="preserve">支持对单个终端风险信息进行清点，包括：漏洞数量及得分、基线违规数量及得分、病毒威胁事件数量及得分、异常行为事件数量及得分、运行状态威胁事件数量及得分、威胁情报事件数量及得分、入侵攻击事件数量及得分；支持单终端视角的综合风险评分以及待处置事件提醒</w:t>
            </w:r>
            <w:r/>
          </w:p>
        </w:tc>
      </w:tr>
      <w:tr>
        <w:trPr>
          <w:jc w:val="center"/>
          <w:trHeight w:val="619"/>
        </w:trPr>
        <w:tc>
          <w:tcPr>
            <w:tcW w:w="1493" w:type="dxa"/>
            <w:vAlign w:val="center"/>
            <w:vMerge w:val="continue"/>
            <w:textDirection w:val="lrTb"/>
            <w:noWrap w:val="false"/>
          </w:tcPr>
          <w:p>
            <w:pPr>
              <w:rPr>
                <w:sz w:val="18"/>
                <w:szCs w:val="20"/>
              </w:rPr>
            </w:pPr>
            <w:r>
              <w:rPr>
                <w:sz w:val="18"/>
                <w:szCs w:val="20"/>
              </w:rPr>
            </w:r>
            <w:r/>
          </w:p>
        </w:tc>
        <w:tc>
          <w:tcPr>
            <w:tcW w:w="7149" w:type="dxa"/>
            <w:textDirection w:val="lrTb"/>
            <w:noWrap w:val="false"/>
          </w:tcPr>
          <w:p>
            <w:pPr>
              <w:rPr>
                <w:rFonts w:ascii="宋体" w:hAnsi="宋体"/>
                <w:sz w:val="18"/>
                <w:szCs w:val="20"/>
              </w:rPr>
            </w:pPr>
            <w:r>
              <w:rPr>
                <w:rFonts w:hint="eastAsia" w:ascii="宋体" w:hAnsi="宋体" w:cs="宋体"/>
                <w:sz w:val="18"/>
                <w:szCs w:val="18"/>
              </w:rPr>
              <w:t xml:space="preserve">▲</w:t>
            </w:r>
            <w:r>
              <w:rPr>
                <w:rFonts w:hint="eastAsia" w:ascii="宋体" w:hAnsi="宋体"/>
                <w:sz w:val="18"/>
                <w:szCs w:val="20"/>
              </w:rPr>
              <w:t xml:space="preserve">支持网络访问关系可视化，支持展示不同标签资产之间的访问关系以及相同标签资产的连入连出访问；</w:t>
            </w:r>
            <w:r>
              <w:rPr>
                <w:rFonts w:hint="eastAsia" w:ascii="宋体" w:hAnsi="宋体"/>
                <w:b/>
                <w:bCs/>
                <w:sz w:val="18"/>
                <w:szCs w:val="20"/>
              </w:rPr>
              <w:t xml:space="preserve">（提供第三方测试报告证明）</w:t>
            </w:r>
            <w:r/>
          </w:p>
        </w:tc>
      </w:tr>
      <w:tr>
        <w:trPr>
          <w:jc w:val="center"/>
          <w:trHeight w:val="239"/>
        </w:trPr>
        <w:tc>
          <w:tcPr>
            <w:tcW w:w="1493" w:type="dxa"/>
            <w:vAlign w:val="center"/>
            <w:vMerge w:val="restart"/>
            <w:textDirection w:val="lrTb"/>
            <w:noWrap w:val="false"/>
          </w:tcPr>
          <w:p>
            <w:pPr>
              <w:jc w:val="center"/>
              <w:rPr>
                <w:rFonts w:ascii="宋体" w:hAnsi="宋体"/>
                <w:b/>
                <w:sz w:val="18"/>
                <w:szCs w:val="18"/>
              </w:rPr>
            </w:pPr>
            <w:r>
              <w:rPr>
                <w:rFonts w:hint="eastAsia" w:ascii="宋体" w:hAnsi="宋体"/>
                <w:b/>
                <w:sz w:val="18"/>
                <w:szCs w:val="18"/>
              </w:rPr>
              <w:t xml:space="preserve">安全核查</w:t>
            </w:r>
            <w:r/>
          </w:p>
        </w:tc>
        <w:tc>
          <w:tcPr>
            <w:tcW w:w="7149" w:type="dxa"/>
            <w:textDirection w:val="lrTb"/>
            <w:noWrap w:val="false"/>
          </w:tcPr>
          <w:p>
            <w:pPr>
              <w:rPr>
                <w:rFonts w:ascii="宋体" w:hAnsi="宋体"/>
                <w:sz w:val="18"/>
                <w:szCs w:val="20"/>
              </w:rPr>
            </w:pPr>
            <w:r>
              <w:rPr>
                <w:rFonts w:hint="eastAsia" w:ascii="宋体" w:hAnsi="宋体"/>
                <w:sz w:val="18"/>
                <w:szCs w:val="20"/>
              </w:rPr>
              <w:t xml:space="preserve">支持终端维度查看基线检查结果，至少包括：终端名称、IP地址、所属组织、系统类型、最近扫描时间、策略名称、检查结果、评分。</w:t>
            </w:r>
            <w:r/>
          </w:p>
        </w:tc>
      </w:tr>
      <w:tr>
        <w:trPr>
          <w:jc w:val="center"/>
          <w:trHeight w:val="287"/>
        </w:trPr>
        <w:tc>
          <w:tcPr>
            <w:tcW w:w="1493" w:type="dxa"/>
            <w:vAlign w:val="center"/>
            <w:vMerge w:val="continue"/>
            <w:textDirection w:val="lrTb"/>
            <w:noWrap w:val="false"/>
          </w:tcPr>
          <w:p>
            <w:pPr>
              <w:jc w:val="center"/>
              <w:rPr>
                <w:rFonts w:ascii="宋体" w:hAnsi="宋体"/>
                <w:b/>
                <w:sz w:val="18"/>
                <w:szCs w:val="18"/>
              </w:rPr>
            </w:pPr>
            <w:r>
              <w:rPr>
                <w:rFonts w:ascii="宋体" w:hAnsi="宋体"/>
                <w:b/>
                <w:sz w:val="18"/>
                <w:szCs w:val="18"/>
              </w:rPr>
            </w:r>
            <w:r/>
          </w:p>
        </w:tc>
        <w:tc>
          <w:tcPr>
            <w:tcW w:w="7149" w:type="dxa"/>
            <w:textDirection w:val="lrTb"/>
            <w:noWrap w:val="false"/>
          </w:tcPr>
          <w:p>
            <w:pPr>
              <w:rPr>
                <w:rFonts w:ascii="宋体" w:hAnsi="宋体"/>
                <w:sz w:val="18"/>
                <w:szCs w:val="20"/>
              </w:rPr>
            </w:pPr>
            <w:r>
              <w:rPr>
                <w:rFonts w:hint="eastAsia" w:ascii="宋体" w:hAnsi="宋体"/>
                <w:sz w:val="18"/>
                <w:szCs w:val="20"/>
              </w:rPr>
              <w:t xml:space="preserve">支持对所有的检查项进行打分配置，包括一票否决和单项扣分。</w:t>
            </w:r>
            <w:r/>
          </w:p>
        </w:tc>
      </w:tr>
      <w:tr>
        <w:trPr>
          <w:jc w:val="center"/>
          <w:trHeight w:val="90"/>
        </w:trPr>
        <w:tc>
          <w:tcPr>
            <w:tcW w:w="1493"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非法外联</w:t>
            </w:r>
            <w:r/>
          </w:p>
        </w:tc>
        <w:tc>
          <w:tcPr>
            <w:tcW w:w="7149" w:type="dxa"/>
            <w:textDirection w:val="lrTb"/>
            <w:noWrap w:val="false"/>
          </w:tcPr>
          <w:p>
            <w:pPr>
              <w:rPr>
                <w:rFonts w:ascii="宋体" w:hAnsi="宋体"/>
                <w:sz w:val="18"/>
                <w:szCs w:val="20"/>
              </w:rPr>
            </w:pPr>
            <w:r>
              <w:rPr>
                <w:rFonts w:hint="eastAsia" w:ascii="宋体" w:hAnsi="宋体" w:cs="宋体"/>
                <w:sz w:val="18"/>
                <w:szCs w:val="18"/>
              </w:rPr>
              <w:t xml:space="preserve">▲</w:t>
            </w:r>
            <w:r>
              <w:rPr>
                <w:rFonts w:hint="eastAsia" w:ascii="宋体" w:hAnsi="宋体"/>
                <w:sz w:val="18"/>
                <w:szCs w:val="20"/>
              </w:rPr>
              <w:t xml:space="preserve">支持对终端的非法外联行为进行监控和告警</w:t>
            </w:r>
            <w:r>
              <w:rPr>
                <w:rFonts w:hint="eastAsia" w:ascii="宋体" w:hAnsi="宋体"/>
                <w:b/>
                <w:bCs/>
                <w:sz w:val="18"/>
                <w:szCs w:val="20"/>
              </w:rPr>
              <w:t xml:space="preserve">（提供第三方测试报告证明）</w:t>
            </w:r>
            <w:r/>
          </w:p>
        </w:tc>
      </w:tr>
      <w:tr>
        <w:trPr>
          <w:jc w:val="center"/>
          <w:trHeight w:val="90"/>
        </w:trPr>
        <w:tc>
          <w:tcPr>
            <w:tcW w:w="1493"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行为基线</w:t>
            </w:r>
            <w:r/>
          </w:p>
        </w:tc>
        <w:tc>
          <w:tcPr>
            <w:tcW w:w="7149" w:type="dxa"/>
            <w:textDirection w:val="lrTb"/>
            <w:noWrap w:val="false"/>
          </w:tcPr>
          <w:p>
            <w:pPr>
              <w:rPr>
                <w:rFonts w:ascii="宋体" w:hAnsi="宋体"/>
                <w:sz w:val="18"/>
                <w:szCs w:val="20"/>
              </w:rPr>
            </w:pPr>
            <w:r>
              <w:rPr>
                <w:rFonts w:hint="eastAsia" w:ascii="宋体" w:hAnsi="宋体" w:cs="宋体"/>
                <w:sz w:val="18"/>
                <w:szCs w:val="18"/>
              </w:rPr>
              <w:t xml:space="preserve">▲</w:t>
            </w:r>
            <w:r>
              <w:rPr>
                <w:rFonts w:hint="eastAsia" w:ascii="宋体" w:hAnsi="宋体"/>
                <w:sz w:val="18"/>
                <w:szCs w:val="20"/>
              </w:rPr>
              <w:t xml:space="preserve">支持通过自学习的方式，建立资产行为基线模型，包括网络连入/连出模型、端口监听模型、进程行为模型、登录行为模型、DNS访问模型</w:t>
            </w:r>
            <w:r>
              <w:rPr>
                <w:rFonts w:hint="eastAsia" w:ascii="宋体" w:hAnsi="宋体"/>
                <w:b/>
                <w:bCs/>
                <w:sz w:val="18"/>
                <w:szCs w:val="20"/>
              </w:rPr>
              <w:t xml:space="preserve">（提供第三方测试报告证明）</w:t>
            </w:r>
            <w:r/>
          </w:p>
        </w:tc>
      </w:tr>
      <w:tr>
        <w:trPr>
          <w:jc w:val="center"/>
          <w:trHeight w:val="239"/>
        </w:trPr>
        <w:tc>
          <w:tcPr>
            <w:tcW w:w="1493" w:type="dxa"/>
            <w:vAlign w:val="center"/>
            <w:vMerge w:val="restart"/>
            <w:textDirection w:val="lrTb"/>
            <w:noWrap w:val="false"/>
          </w:tcPr>
          <w:p>
            <w:pPr>
              <w:jc w:val="center"/>
              <w:rPr>
                <w:rFonts w:ascii="宋体" w:hAnsi="宋体"/>
                <w:b/>
                <w:sz w:val="18"/>
                <w:szCs w:val="18"/>
              </w:rPr>
            </w:pPr>
            <w:r>
              <w:rPr>
                <w:rFonts w:hint="eastAsia" w:ascii="宋体" w:hAnsi="宋体"/>
                <w:b/>
                <w:sz w:val="18"/>
                <w:szCs w:val="18"/>
              </w:rPr>
              <w:t xml:space="preserve">威胁检测</w:t>
            </w:r>
            <w:r/>
          </w:p>
        </w:tc>
        <w:tc>
          <w:tcPr>
            <w:tcW w:w="7149" w:type="dxa"/>
            <w:textDirection w:val="lrTb"/>
            <w:noWrap w:val="false"/>
          </w:tcPr>
          <w:p>
            <w:pPr>
              <w:rPr>
                <w:rFonts w:ascii="宋体" w:hAnsi="宋体"/>
                <w:sz w:val="18"/>
                <w:szCs w:val="20"/>
              </w:rPr>
            </w:pPr>
            <w:r>
              <w:rPr>
                <w:rFonts w:hint="eastAsia" w:ascii="宋体" w:hAnsi="宋体"/>
                <w:sz w:val="18"/>
                <w:szCs w:val="20"/>
              </w:rPr>
              <w:t xml:space="preserve">支持多引擎协同检测，增加病毒检出率；支持自定义选择病毒检测引擎。</w:t>
            </w:r>
            <w:r>
              <w:rPr>
                <w:rFonts w:hint="eastAsia" w:ascii="宋体" w:hAnsi="宋体"/>
                <w:b/>
                <w:bCs/>
                <w:sz w:val="18"/>
                <w:szCs w:val="20"/>
              </w:rPr>
              <w:t xml:space="preserve">（提供截图证明）</w:t>
            </w:r>
            <w:r/>
          </w:p>
        </w:tc>
      </w:tr>
      <w:tr>
        <w:trPr>
          <w:jc w:val="center"/>
          <w:trHeight w:val="239"/>
        </w:trPr>
        <w:tc>
          <w:tcPr>
            <w:tcW w:w="1493" w:type="dxa"/>
            <w:vAlign w:val="center"/>
            <w:vMerge w:val="continue"/>
            <w:textDirection w:val="lrTb"/>
            <w:noWrap w:val="false"/>
          </w:tcPr>
          <w:p>
            <w:pPr>
              <w:jc w:val="center"/>
              <w:rPr>
                <w:rFonts w:ascii="宋体" w:hAnsi="宋体"/>
                <w:b/>
                <w:sz w:val="18"/>
                <w:szCs w:val="18"/>
              </w:rPr>
            </w:pPr>
            <w:r>
              <w:rPr>
                <w:rFonts w:ascii="宋体" w:hAnsi="宋体"/>
                <w:b/>
                <w:sz w:val="18"/>
                <w:szCs w:val="18"/>
              </w:rPr>
            </w:r>
            <w:r/>
          </w:p>
        </w:tc>
        <w:tc>
          <w:tcPr>
            <w:tcW w:w="7149" w:type="dxa"/>
            <w:textDirection w:val="lrTb"/>
            <w:noWrap w:val="false"/>
          </w:tcPr>
          <w:p>
            <w:pPr>
              <w:rPr>
                <w:rFonts w:ascii="宋体" w:hAnsi="宋体"/>
                <w:sz w:val="18"/>
                <w:szCs w:val="20"/>
              </w:rPr>
            </w:pPr>
            <w:r>
              <w:rPr>
                <w:rFonts w:hint="eastAsia" w:ascii="宋体" w:hAnsi="宋体"/>
                <w:sz w:val="18"/>
                <w:szCs w:val="20"/>
              </w:rPr>
              <w:t xml:space="preserve">支持</w:t>
            </w:r>
            <w:r>
              <w:rPr>
                <w:rFonts w:hint="eastAsia" w:ascii="宋体" w:hAnsi="宋体"/>
                <w:sz w:val="18"/>
                <w:szCs w:val="20"/>
              </w:rPr>
              <w:t xml:space="preserve">帐号</w:t>
            </w:r>
            <w:r>
              <w:rPr>
                <w:rFonts w:hint="eastAsia" w:ascii="宋体" w:hAnsi="宋体"/>
                <w:sz w:val="18"/>
                <w:szCs w:val="20"/>
              </w:rPr>
              <w:t xml:space="preserve">异常登录检查，包括：新增用户、</w:t>
            </w:r>
            <w:r>
              <w:rPr>
                <w:rFonts w:hint="eastAsia" w:ascii="宋体" w:hAnsi="宋体"/>
                <w:sz w:val="18"/>
                <w:szCs w:val="20"/>
              </w:rPr>
              <w:t xml:space="preserve">帐号</w:t>
            </w:r>
            <w:r>
              <w:rPr>
                <w:rFonts w:hint="eastAsia" w:ascii="宋体" w:hAnsi="宋体"/>
                <w:sz w:val="18"/>
                <w:szCs w:val="20"/>
              </w:rPr>
              <w:t xml:space="preserve">提权、异常时间登陆、频繁登陆等；支持自定义异常时间及白名单例外。</w:t>
            </w:r>
            <w:r/>
          </w:p>
        </w:tc>
      </w:tr>
      <w:tr>
        <w:trPr>
          <w:jc w:val="center"/>
          <w:trHeight w:val="686"/>
        </w:trPr>
        <w:tc>
          <w:tcPr>
            <w:tcW w:w="1493" w:type="dxa"/>
            <w:vAlign w:val="center"/>
            <w:vMerge w:val="continue"/>
            <w:textDirection w:val="lrTb"/>
            <w:noWrap w:val="false"/>
          </w:tcPr>
          <w:p>
            <w:pPr>
              <w:jc w:val="center"/>
              <w:rPr>
                <w:rFonts w:ascii="宋体" w:hAnsi="宋体"/>
                <w:b/>
                <w:sz w:val="18"/>
                <w:szCs w:val="18"/>
              </w:rPr>
            </w:pPr>
            <w:r>
              <w:rPr>
                <w:rFonts w:ascii="宋体" w:hAnsi="宋体"/>
                <w:b/>
                <w:sz w:val="18"/>
                <w:szCs w:val="18"/>
              </w:rPr>
            </w:r>
            <w:r/>
          </w:p>
        </w:tc>
        <w:tc>
          <w:tcPr>
            <w:tcW w:w="7149" w:type="dxa"/>
            <w:textDirection w:val="lrTb"/>
            <w:noWrap w:val="false"/>
          </w:tcPr>
          <w:p>
            <w:pPr>
              <w:rPr>
                <w:rFonts w:ascii="宋体" w:hAnsi="宋体"/>
                <w:sz w:val="18"/>
                <w:szCs w:val="20"/>
              </w:rPr>
            </w:pPr>
            <w:r>
              <w:rPr>
                <w:rFonts w:hint="eastAsia" w:ascii="宋体" w:hAnsi="宋体" w:cs="宋体"/>
                <w:sz w:val="18"/>
                <w:szCs w:val="18"/>
              </w:rPr>
              <w:t xml:space="preserve">▲</w:t>
            </w:r>
            <w:r>
              <w:rPr>
                <w:rFonts w:hint="eastAsia" w:ascii="宋体" w:hAnsi="宋体"/>
                <w:sz w:val="18"/>
                <w:szCs w:val="20"/>
              </w:rPr>
              <w:t xml:space="preserve">支持基于IP、端口、协议、连入、连出、进程形成微隔离安全访问控制能力，可信的进程从指定端口与指定 IP 的指定端口连入或连出。微隔离之外的网络连接将记录或阻断</w:t>
            </w:r>
            <w:r>
              <w:rPr>
                <w:rFonts w:hint="eastAsia" w:ascii="宋体" w:hAnsi="宋体"/>
                <w:b/>
                <w:bCs/>
                <w:sz w:val="18"/>
                <w:szCs w:val="20"/>
              </w:rPr>
              <w:t xml:space="preserve">（提供第三方测试报告证明）</w:t>
            </w:r>
            <w:r/>
          </w:p>
        </w:tc>
      </w:tr>
      <w:tr>
        <w:trPr>
          <w:jc w:val="center"/>
          <w:trHeight w:val="239"/>
        </w:trPr>
        <w:tc>
          <w:tcPr>
            <w:tcW w:w="1493" w:type="dxa"/>
            <w:vAlign w:val="center"/>
            <w:vMerge w:val="continue"/>
            <w:textDirection w:val="lrTb"/>
            <w:noWrap w:val="false"/>
          </w:tcPr>
          <w:p>
            <w:pPr>
              <w:jc w:val="center"/>
              <w:rPr>
                <w:rFonts w:ascii="宋体" w:hAnsi="宋体"/>
                <w:b/>
                <w:sz w:val="18"/>
                <w:szCs w:val="18"/>
              </w:rPr>
            </w:pPr>
            <w:r>
              <w:rPr>
                <w:rFonts w:ascii="宋体" w:hAnsi="宋体"/>
                <w:b/>
                <w:sz w:val="18"/>
                <w:szCs w:val="18"/>
              </w:rPr>
            </w:r>
            <w:r/>
          </w:p>
        </w:tc>
        <w:tc>
          <w:tcPr>
            <w:tcW w:w="7149" w:type="dxa"/>
            <w:textDirection w:val="lrTb"/>
            <w:noWrap w:val="false"/>
          </w:tcPr>
          <w:p>
            <w:pPr>
              <w:rPr>
                <w:rFonts w:ascii="宋体" w:hAnsi="宋体"/>
                <w:sz w:val="18"/>
                <w:szCs w:val="20"/>
              </w:rPr>
            </w:pPr>
            <w:r>
              <w:rPr>
                <w:rFonts w:hint="eastAsia" w:ascii="宋体" w:hAnsi="宋体"/>
                <w:sz w:val="18"/>
                <w:szCs w:val="20"/>
              </w:rPr>
              <w:t xml:space="preserve">支持根据进程特征和脚本执行对反弹shell检测；支持记录或终止的响应能力。</w:t>
            </w:r>
            <w:r/>
          </w:p>
        </w:tc>
      </w:tr>
      <w:tr>
        <w:trPr>
          <w:jc w:val="center"/>
          <w:trHeight w:val="239"/>
        </w:trPr>
        <w:tc>
          <w:tcPr>
            <w:tcW w:w="1493" w:type="dxa"/>
            <w:vAlign w:val="center"/>
            <w:vMerge w:val="restart"/>
            <w:textDirection w:val="lrTb"/>
            <w:noWrap w:val="false"/>
          </w:tcPr>
          <w:p>
            <w:pPr>
              <w:jc w:val="center"/>
              <w:rPr>
                <w:rFonts w:ascii="宋体" w:hAnsi="宋体"/>
                <w:b/>
                <w:sz w:val="18"/>
                <w:szCs w:val="18"/>
              </w:rPr>
            </w:pPr>
            <w:r>
              <w:rPr>
                <w:rFonts w:hint="eastAsia" w:ascii="宋体" w:hAnsi="宋体"/>
                <w:b/>
                <w:sz w:val="18"/>
                <w:szCs w:val="18"/>
              </w:rPr>
              <w:t xml:space="preserve">场景分析</w:t>
            </w:r>
            <w:r/>
          </w:p>
        </w:tc>
        <w:tc>
          <w:tcPr>
            <w:tcW w:w="7149" w:type="dxa"/>
            <w:textDirection w:val="lrTb"/>
            <w:noWrap w:val="false"/>
          </w:tcPr>
          <w:p>
            <w:pPr>
              <w:rPr>
                <w:rFonts w:ascii="宋体" w:hAnsi="宋体"/>
                <w:sz w:val="18"/>
                <w:szCs w:val="20"/>
              </w:rPr>
            </w:pPr>
            <w:r>
              <w:rPr>
                <w:rFonts w:hint="eastAsia" w:ascii="宋体" w:hAnsi="宋体"/>
                <w:sz w:val="18"/>
                <w:szCs w:val="20"/>
              </w:rPr>
              <w:t xml:space="preserve">预置≥5个常见安全威胁场景，包括但不限于：勒索软件、WEB服务器异常、失陷主机、</w:t>
            </w:r>
            <w:r>
              <w:rPr>
                <w:rFonts w:hint="eastAsia" w:ascii="宋体" w:hAnsi="宋体"/>
                <w:sz w:val="18"/>
                <w:szCs w:val="20"/>
              </w:rPr>
              <w:t xml:space="preserve">挖矿软件、横向渗透等。</w:t>
            </w:r>
            <w:r/>
          </w:p>
        </w:tc>
      </w:tr>
      <w:tr>
        <w:trPr>
          <w:jc w:val="center"/>
          <w:trHeight w:val="239"/>
        </w:trPr>
        <w:tc>
          <w:tcPr>
            <w:tcW w:w="1493" w:type="dxa"/>
            <w:vAlign w:val="center"/>
            <w:vMerge w:val="continue"/>
            <w:textDirection w:val="lrTb"/>
            <w:noWrap w:val="false"/>
          </w:tcPr>
          <w:p>
            <w:pPr>
              <w:jc w:val="center"/>
              <w:rPr>
                <w:rFonts w:ascii="宋体" w:hAnsi="宋体"/>
                <w:b/>
                <w:sz w:val="18"/>
                <w:szCs w:val="18"/>
              </w:rPr>
            </w:pPr>
            <w:r>
              <w:rPr>
                <w:rFonts w:ascii="宋体" w:hAnsi="宋体"/>
                <w:b/>
                <w:sz w:val="18"/>
                <w:szCs w:val="18"/>
              </w:rPr>
            </w:r>
            <w:r/>
          </w:p>
        </w:tc>
        <w:tc>
          <w:tcPr>
            <w:tcW w:w="7149" w:type="dxa"/>
            <w:textDirection w:val="lrTb"/>
            <w:noWrap w:val="false"/>
          </w:tcPr>
          <w:p>
            <w:pPr>
              <w:rPr>
                <w:rFonts w:ascii="宋体" w:hAnsi="宋体"/>
                <w:sz w:val="18"/>
                <w:szCs w:val="20"/>
              </w:rPr>
            </w:pPr>
            <w:r>
              <w:rPr>
                <w:rFonts w:hint="eastAsia" w:ascii="宋体" w:hAnsi="宋体"/>
                <w:sz w:val="18"/>
                <w:szCs w:val="20"/>
              </w:rPr>
              <w:t xml:space="preserve">支持按照天、周、月维度自动生成</w:t>
            </w:r>
            <w:r>
              <w:rPr>
                <w:rFonts w:hint="eastAsia" w:ascii="宋体" w:hAnsi="宋体"/>
                <w:sz w:val="18"/>
                <w:szCs w:val="20"/>
              </w:rPr>
              <w:t xml:space="preserve">场景化运维</w:t>
            </w:r>
            <w:r>
              <w:rPr>
                <w:rFonts w:hint="eastAsia" w:ascii="宋体" w:hAnsi="宋体"/>
                <w:sz w:val="18"/>
                <w:szCs w:val="20"/>
              </w:rPr>
              <w:t xml:space="preserve">报告，并自动发送至管理员邮箱，便于管理员及时了解威胁场景的安全现状。</w:t>
            </w:r>
            <w:r/>
          </w:p>
        </w:tc>
      </w:tr>
      <w:tr>
        <w:trPr>
          <w:jc w:val="center"/>
          <w:trHeight w:val="635"/>
        </w:trPr>
        <w:tc>
          <w:tcPr>
            <w:tcW w:w="1493"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威胁处置</w:t>
            </w:r>
            <w:r/>
          </w:p>
        </w:tc>
        <w:tc>
          <w:tcPr>
            <w:tcW w:w="7149" w:type="dxa"/>
            <w:vAlign w:val="center"/>
            <w:textDirection w:val="lrTb"/>
            <w:noWrap w:val="false"/>
          </w:tcPr>
          <w:p>
            <w:pPr>
              <w:rPr>
                <w:rFonts w:ascii="宋体" w:hAnsi="宋体"/>
                <w:sz w:val="18"/>
                <w:szCs w:val="20"/>
              </w:rPr>
            </w:pPr>
            <w:r>
              <w:rPr>
                <w:rFonts w:hint="eastAsia" w:ascii="宋体" w:hAnsi="宋体"/>
                <w:sz w:val="18"/>
                <w:szCs w:val="20"/>
              </w:rPr>
              <w:t xml:space="preserve">▲病毒检出率≥99%，勒索病毒专项检出率达到100%，病毒检测误报率＜1%</w:t>
            </w:r>
            <w:r>
              <w:rPr>
                <w:rFonts w:hint="eastAsia" w:ascii="宋体" w:hAnsi="宋体"/>
                <w:b/>
                <w:bCs/>
                <w:sz w:val="18"/>
                <w:szCs w:val="20"/>
              </w:rPr>
              <w:t xml:space="preserve">（提供提三方检测报告证明）</w:t>
            </w:r>
            <w:r/>
          </w:p>
        </w:tc>
      </w:tr>
      <w:tr>
        <w:trPr>
          <w:jc w:val="center"/>
          <w:trHeight w:val="239"/>
        </w:trPr>
        <w:tc>
          <w:tcPr>
            <w:tcW w:w="1493"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威胁溯源</w:t>
            </w:r>
            <w:r/>
          </w:p>
        </w:tc>
        <w:tc>
          <w:tcPr>
            <w:tcW w:w="7149" w:type="dxa"/>
            <w:vAlign w:val="center"/>
            <w:textDirection w:val="lrTb"/>
            <w:noWrap w:val="false"/>
          </w:tcPr>
          <w:p>
            <w:pPr>
              <w:rPr>
                <w:rFonts w:ascii="宋体" w:hAnsi="宋体"/>
                <w:sz w:val="18"/>
                <w:szCs w:val="20"/>
              </w:rPr>
            </w:pPr>
            <w:r>
              <w:rPr>
                <w:rFonts w:hint="eastAsia" w:ascii="宋体" w:hAnsi="宋体"/>
                <w:sz w:val="18"/>
                <w:szCs w:val="20"/>
              </w:rPr>
              <w:t xml:space="preserve">支持文件流转溯源，可视化跟踪恶意文件在终端的流转行为和范围。</w:t>
            </w:r>
            <w:r/>
          </w:p>
        </w:tc>
      </w:tr>
    </w:tbl>
    <w:p>
      <w:pPr>
        <w:numPr>
          <w:ilvl w:val="0"/>
          <w:numId w:val="6"/>
        </w:numPr>
        <w:rPr>
          <w:rFonts w:ascii="微软雅黑" w:hAnsi="微软雅黑" w:eastAsia="微软雅黑"/>
          <w:sz w:val="20"/>
          <w:szCs w:val="20"/>
        </w:rPr>
      </w:pPr>
      <w:r>
        <w:rPr>
          <w:rFonts w:hint="eastAsia" w:ascii="微软雅黑" w:hAnsi="微软雅黑" w:eastAsia="微软雅黑"/>
          <w:b/>
          <w:bCs/>
          <w:sz w:val="20"/>
          <w:szCs w:val="20"/>
        </w:rPr>
        <w:t xml:space="preserve">上网行为管理</w:t>
      </w:r>
      <w:r/>
    </w:p>
    <w:tbl>
      <w:tblPr>
        <w:tblW w:w="8691" w:type="dxa"/>
        <w:tblInd w:w="93" w:type="dxa"/>
        <w:tblLayout w:type="fixed"/>
        <w:tblLook w:val="04A0" w:firstRow="1" w:lastRow="0" w:firstColumn="1" w:lastColumn="0" w:noHBand="0" w:noVBand="1"/>
      </w:tblPr>
      <w:tblGrid>
        <w:gridCol w:w="1964"/>
        <w:gridCol w:w="6727"/>
      </w:tblGrid>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技术指标</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指标要求</w:t>
            </w:r>
            <w:r/>
          </w:p>
        </w:tc>
      </w:tr>
      <w:tr>
        <w:trPr>
          <w:trHeight w:val="1121"/>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性能指标</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sz w:val="20"/>
                <w:szCs w:val="20"/>
              </w:rPr>
              <w:t xml:space="preserve">▲</w:t>
            </w:r>
            <w:r>
              <w:rPr>
                <w:rFonts w:hint="eastAsia" w:ascii="宋体" w:hAnsi="宋体" w:cs="宋体"/>
                <w:sz w:val="20"/>
                <w:szCs w:val="20"/>
                <w:lang w:bidi="ar"/>
              </w:rPr>
              <w:t xml:space="preserve">性能参数：吞吐量≥4Gps， 并发连接数≥ 50万，新建连接数≥1.5万；</w:t>
            </w:r>
            <w:r>
              <w:rPr>
                <w:rFonts w:hint="eastAsia" w:ascii="宋体" w:hAnsi="宋体" w:cs="宋体"/>
                <w:b/>
                <w:bCs/>
                <w:sz w:val="20"/>
                <w:szCs w:val="20"/>
                <w:lang w:bidi="ar"/>
              </w:rPr>
              <w:t xml:space="preserve">(提供产品</w:t>
            </w:r>
            <w:r>
              <w:rPr>
                <w:rFonts w:hint="eastAsia" w:ascii="宋体" w:hAnsi="宋体" w:cs="宋体"/>
                <w:b/>
                <w:bCs/>
                <w:sz w:val="20"/>
                <w:szCs w:val="20"/>
                <w:lang w:bidi="ar"/>
              </w:rPr>
              <w:t xml:space="preserve">官网截图证明</w:t>
            </w:r>
            <w:r>
              <w:rPr>
                <w:rFonts w:hint="eastAsia" w:ascii="宋体" w:hAnsi="宋体" w:cs="宋体"/>
                <w:b/>
                <w:bCs/>
                <w:sz w:val="20"/>
                <w:szCs w:val="20"/>
                <w:lang w:bidi="ar"/>
              </w:rPr>
              <w:t xml:space="preserve">)</w:t>
            </w:r>
            <w:r>
              <w:rPr>
                <w:rFonts w:hint="eastAsia" w:ascii="宋体" w:hAnsi="宋体" w:cs="宋体"/>
                <w:sz w:val="20"/>
                <w:szCs w:val="20"/>
                <w:lang w:bidi="ar"/>
              </w:rPr>
              <w:br/>
              <w:t xml:space="preserve">硬件参数：桌面设备，单电源；三年特征库升级服务</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部署模式</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支持路由模式、透明（网桥）模式、混合模式、旁路模式；旁路部署支持加入多个物理接口；部署模式切换无需重</w:t>
            </w:r>
            <w:r>
              <w:rPr>
                <w:rFonts w:hint="eastAsia" w:ascii="宋体" w:hAnsi="宋体" w:cs="宋体"/>
                <w:sz w:val="20"/>
                <w:szCs w:val="20"/>
                <w:lang w:bidi="ar"/>
              </w:rPr>
              <w:t xml:space="preserve">启设备</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软件Bypass</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设备CPU、内存瞬时达到阀值时，支持按预定比例进行流量审计和管理，优先保障用户上网体验，</w:t>
            </w:r>
            <w:r>
              <w:rPr>
                <w:rFonts w:hint="eastAsia" w:ascii="宋体" w:hAnsi="宋体" w:cs="宋体"/>
                <w:sz w:val="20"/>
                <w:szCs w:val="20"/>
                <w:lang w:bidi="ar"/>
              </w:rPr>
              <w:t xml:space="preserve">当阀值</w:t>
            </w:r>
            <w:r>
              <w:rPr>
                <w:rFonts w:hint="eastAsia" w:ascii="宋体" w:hAnsi="宋体" w:cs="宋体"/>
                <w:sz w:val="20"/>
                <w:szCs w:val="20"/>
                <w:lang w:bidi="ar"/>
              </w:rPr>
              <w:t xml:space="preserve">下降时，恢复审计和管理</w:t>
            </w:r>
            <w:r/>
          </w:p>
        </w:tc>
      </w:tr>
      <w:tr>
        <w:trPr>
          <w:trHeight w:val="974"/>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sz w:val="20"/>
                <w:szCs w:val="20"/>
              </w:rPr>
              <w:t xml:space="preserve">▲</w:t>
            </w:r>
            <w:r>
              <w:rPr>
                <w:rFonts w:hint="eastAsia" w:ascii="宋体" w:hAnsi="宋体" w:cs="宋体"/>
                <w:sz w:val="20"/>
                <w:szCs w:val="20"/>
                <w:lang w:bidi="ar"/>
              </w:rPr>
              <w:t xml:space="preserve">接口实际配置支持second IP地址；内外接口无固化，支持修改接口属性，修改接口IP类型、地址模式无需重启设备</w:t>
            </w:r>
            <w:r>
              <w:rPr>
                <w:rFonts w:hint="eastAsia" w:ascii="宋体" w:hAnsi="宋体" w:cs="宋体"/>
                <w:b/>
                <w:bCs/>
                <w:sz w:val="20"/>
                <w:szCs w:val="20"/>
                <w:lang w:bidi="ar"/>
              </w:rPr>
              <w:t xml:space="preserve">（需提供web配置界面截图证明）</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DNS-DNAT</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支持针对用户的上网请求，自动替换DNS服务器，无需用户根据访问资源的运营商归属而手动修改DNS，防止跨运营商访问慢的情况</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策略路由</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支持七元组策略路由，支持基于线路权重进行负载转发</w:t>
            </w:r>
            <w:r/>
          </w:p>
        </w:tc>
      </w:tr>
      <w:tr>
        <w:trPr>
          <w:trHeight w:val="1121"/>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ISP路由</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支持基于ISP地址表动态选路，选路算法包括但不限于优先级和权重，支持基于PING、TCP、DNS协议探测连通性，探测目标支持IP和域名，ISP信息支持自定义</w:t>
            </w:r>
            <w:r/>
          </w:p>
        </w:tc>
      </w:tr>
      <w:tr>
        <w:trPr>
          <w:trHeight w:val="1353"/>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链路负载均衡</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sz w:val="20"/>
                <w:szCs w:val="20"/>
              </w:rPr>
              <w:t xml:space="preserve">▲</w:t>
            </w:r>
            <w:r>
              <w:rPr>
                <w:rFonts w:hint="eastAsia" w:ascii="宋体" w:hAnsi="宋体" w:cs="宋体"/>
                <w:sz w:val="20"/>
                <w:szCs w:val="20"/>
                <w:lang w:bidi="ar"/>
              </w:rPr>
              <w:t xml:space="preserve">支持7元组的链路负载均衡策略，负载均衡接口支持接口和接口组，支持基于域名进行链路负载，负载算法包括但不少于优先级和权重，负载均衡接口支持pppoe、dhcp、tunnel、物理接口等三层接口</w:t>
            </w:r>
            <w:r>
              <w:rPr>
                <w:rFonts w:hint="eastAsia" w:ascii="宋体" w:hAnsi="宋体" w:cs="宋体"/>
                <w:b/>
                <w:bCs/>
                <w:sz w:val="20"/>
                <w:szCs w:val="20"/>
                <w:lang w:bidi="ar"/>
              </w:rPr>
              <w:t xml:space="preserve">（需提供web配置界面截图证明）</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服务器负载均衡</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支持5元组的负载均衡策略，转换类型支持地址映射或端口映射</w:t>
            </w:r>
            <w:r/>
          </w:p>
        </w:tc>
      </w:tr>
      <w:tr>
        <w:trPr>
          <w:trHeight w:val="1121"/>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DNS</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sz w:val="20"/>
                <w:szCs w:val="20"/>
              </w:rPr>
              <w:t xml:space="preserve">▲</w:t>
            </w:r>
            <w:r>
              <w:rPr>
                <w:rFonts w:hint="eastAsia" w:ascii="宋体" w:hAnsi="宋体" w:cs="宋体"/>
                <w:sz w:val="20"/>
                <w:szCs w:val="20"/>
                <w:lang w:bidi="ar"/>
              </w:rPr>
              <w:t xml:space="preserve">支持基于全局或链路进行DNS透明代理，支持指定DNS或继承链路DNS配置，针对多链路支持基于优先级、权重、流量算法进行DNS负载</w:t>
            </w:r>
            <w:r>
              <w:rPr>
                <w:rFonts w:hint="eastAsia" w:ascii="宋体" w:hAnsi="宋体" w:cs="宋体"/>
                <w:b/>
                <w:bCs/>
                <w:sz w:val="20"/>
                <w:szCs w:val="20"/>
                <w:lang w:bidi="ar"/>
              </w:rPr>
              <w:t xml:space="preserve">（需提供web配置界面截图证明）</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应用识别</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sz w:val="20"/>
                <w:szCs w:val="20"/>
              </w:rPr>
              <w:t xml:space="preserve">▲</w:t>
            </w:r>
            <w:r>
              <w:rPr>
                <w:rFonts w:hint="eastAsia" w:ascii="宋体" w:hAnsi="宋体" w:cs="宋体"/>
                <w:sz w:val="20"/>
                <w:szCs w:val="20"/>
                <w:lang w:bidi="ar"/>
              </w:rPr>
              <w:t xml:space="preserve">应用种类不少于7300个，移动应用不少于2000个</w:t>
            </w:r>
            <w:r>
              <w:rPr>
                <w:rFonts w:hint="eastAsia" w:ascii="宋体" w:hAnsi="宋体" w:cs="宋体"/>
                <w:b/>
                <w:bCs/>
                <w:sz w:val="20"/>
                <w:szCs w:val="20"/>
                <w:lang w:bidi="ar"/>
              </w:rPr>
              <w:t xml:space="preserve">（需提供web配置界面截图证明）</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安全策略高级特性</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sz w:val="20"/>
                <w:szCs w:val="20"/>
              </w:rPr>
              <w:t xml:space="preserve">▲</w:t>
            </w:r>
            <w:r>
              <w:rPr>
                <w:rFonts w:hint="eastAsia" w:ascii="宋体" w:hAnsi="宋体" w:cs="宋体"/>
                <w:sz w:val="20"/>
                <w:szCs w:val="20"/>
                <w:lang w:bidi="ar"/>
              </w:rPr>
              <w:t xml:space="preserve"> 支持基于协议、端口、策略的会话维持功能，老化时间不少于2000小时</w:t>
            </w:r>
            <w:r>
              <w:rPr>
                <w:rFonts w:hint="eastAsia" w:ascii="宋体" w:hAnsi="宋体" w:cs="宋体"/>
                <w:b/>
                <w:bCs/>
                <w:sz w:val="20"/>
                <w:szCs w:val="20"/>
                <w:lang w:bidi="ar"/>
              </w:rPr>
              <w:t xml:space="preserve">（需提供web配置界面截图证明）</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196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应用控制</w:t>
            </w:r>
            <w:r/>
          </w:p>
        </w:tc>
        <w:tc>
          <w:tcPr>
            <w:shd w:val="clear" w:color="auto" w:fill="auto"/>
            <w:tcBorders>
              <w:top w:val="single" w:color="000000" w:sz="4" w:space="0"/>
              <w:left w:val="single" w:color="000000" w:sz="4" w:space="0"/>
              <w:bottom w:val="single" w:color="000000" w:sz="4" w:space="0"/>
              <w:right w:val="single" w:color="000000" w:sz="4" w:space="0"/>
            </w:tcBorders>
            <w:tcW w:w="6727" w:type="dxa"/>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支持针对搜索引擎、http、网页内容进行关键字过滤并实时生成日志记录，日志级别包括但不少于紧急、告警、严重、通知、信息、调试、不记录等，方便管理员快速区分用户上网行为属性和定位日志级别。</w:t>
            </w:r>
            <w:r/>
          </w:p>
        </w:tc>
      </w:tr>
    </w:tbl>
    <w:p>
      <w:pPr>
        <w:rPr>
          <w:rFonts w:ascii="微软雅黑" w:hAnsi="微软雅黑" w:eastAsia="微软雅黑"/>
          <w:sz w:val="20"/>
          <w:szCs w:val="20"/>
        </w:rPr>
      </w:pPr>
      <w:r>
        <w:rPr>
          <w:rFonts w:ascii="微软雅黑" w:hAnsi="微软雅黑" w:eastAsia="微软雅黑"/>
          <w:sz w:val="20"/>
          <w:szCs w:val="20"/>
        </w:rPr>
      </w:r>
      <w:r/>
    </w:p>
    <w:p>
      <w:pPr>
        <w:numPr>
          <w:ilvl w:val="0"/>
          <w:numId w:val="6"/>
        </w:numPr>
        <w:rPr>
          <w:rFonts w:ascii="微软雅黑" w:hAnsi="微软雅黑" w:eastAsia="微软雅黑"/>
          <w:sz w:val="20"/>
          <w:szCs w:val="20"/>
        </w:rPr>
      </w:pPr>
      <w:r>
        <w:rPr>
          <w:rFonts w:hint="eastAsia" w:ascii="微软雅黑" w:hAnsi="微软雅黑" w:eastAsia="微软雅黑"/>
          <w:sz w:val="20"/>
          <w:szCs w:val="20"/>
        </w:rPr>
        <w:t xml:space="preserve">入侵检测</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61"/>
        <w:gridCol w:w="7139"/>
      </w:tblGrid>
      <w:tr>
        <w:trPr>
          <w:jc w:val="center"/>
          <w:trHeight w:val="93"/>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rPr>
                <w:rFonts w:ascii="宋体" w:hAnsi="宋体" w:cs="Arial"/>
                <w:b/>
                <w:bCs/>
                <w:sz w:val="18"/>
                <w:szCs w:val="18"/>
              </w:rPr>
            </w:pPr>
            <w:r>
              <w:rPr>
                <w:rFonts w:hint="eastAsia" w:ascii="宋体" w:hAnsi="宋体" w:cs="Arial"/>
                <w:b/>
                <w:bCs/>
                <w:sz w:val="18"/>
                <w:szCs w:val="18"/>
              </w:rPr>
              <w:t xml:space="preserve">指标项</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jc w:val="center"/>
              <w:rPr>
                <w:rFonts w:ascii="宋体" w:hAnsi="宋体" w:cs="Arial"/>
                <w:b/>
                <w:bCs/>
                <w:sz w:val="18"/>
                <w:szCs w:val="18"/>
              </w:rPr>
            </w:pPr>
            <w:r>
              <w:rPr>
                <w:rFonts w:hint="eastAsia" w:ascii="宋体" w:hAnsi="宋体" w:cs="Arial"/>
                <w:b/>
                <w:bCs/>
                <w:sz w:val="18"/>
                <w:szCs w:val="18"/>
              </w:rPr>
              <w:t xml:space="preserve">描述</w:t>
            </w:r>
            <w:r/>
          </w:p>
        </w:tc>
      </w:tr>
      <w:tr>
        <w:trPr>
          <w:jc w:val="center"/>
          <w:trHeight w:val="77"/>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硬件要求</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rPr>
                <w:rFonts w:ascii="宋体" w:hAnsi="宋体"/>
                <w:sz w:val="18"/>
                <w:szCs w:val="18"/>
              </w:rPr>
            </w:pPr>
            <w:r>
              <w:rPr>
                <w:rFonts w:hint="eastAsia"/>
                <w:sz w:val="18"/>
                <w:szCs w:val="18"/>
              </w:rPr>
              <w:t xml:space="preserve">▲</w:t>
            </w:r>
            <w:r>
              <w:rPr>
                <w:rFonts w:hint="eastAsia"/>
                <w:sz w:val="18"/>
                <w:szCs w:val="18"/>
              </w:rPr>
              <w:t xml:space="preserve">2</w:t>
            </w:r>
            <w:r>
              <w:rPr>
                <w:sz w:val="18"/>
                <w:szCs w:val="18"/>
              </w:rPr>
              <w:t xml:space="preserve">U</w:t>
            </w:r>
            <w:r>
              <w:rPr>
                <w:sz w:val="18"/>
                <w:szCs w:val="18"/>
              </w:rPr>
              <w:t xml:space="preserve">标准机架</w:t>
            </w:r>
            <w:r>
              <w:rPr>
                <w:rFonts w:hint="eastAsia"/>
                <w:sz w:val="18"/>
                <w:szCs w:val="18"/>
              </w:rPr>
              <w:t xml:space="preserve">式</w:t>
            </w:r>
            <w:r>
              <w:rPr>
                <w:sz w:val="18"/>
                <w:szCs w:val="18"/>
              </w:rPr>
              <w:t xml:space="preserve">设备，</w:t>
            </w:r>
            <w:r>
              <w:rPr>
                <w:rFonts w:hint="eastAsia"/>
                <w:sz w:val="18"/>
                <w:szCs w:val="18"/>
              </w:rPr>
              <w:t xml:space="preserve">配置冗余电源，</w:t>
            </w:r>
            <w:r>
              <w:rPr>
                <w:sz w:val="18"/>
                <w:szCs w:val="18"/>
              </w:rPr>
              <w:t xml:space="preserve">设备配置</w:t>
            </w:r>
            <w:r>
              <w:rPr>
                <w:rFonts w:hint="eastAsia" w:ascii="宋体" w:hAnsi="宋体"/>
                <w:sz w:val="18"/>
                <w:szCs w:val="18"/>
              </w:rPr>
              <w:t xml:space="preserve">≥</w:t>
            </w:r>
            <w:r>
              <w:rPr>
                <w:rFonts w:hint="eastAsia"/>
                <w:sz w:val="18"/>
                <w:szCs w:val="18"/>
              </w:rPr>
              <w:t xml:space="preserve">4</w:t>
            </w:r>
            <w:r>
              <w:rPr>
                <w:sz w:val="18"/>
                <w:szCs w:val="18"/>
              </w:rPr>
              <w:t xml:space="preserve">个</w:t>
            </w:r>
            <w:r>
              <w:rPr>
                <w:rFonts w:hint="eastAsia"/>
                <w:sz w:val="18"/>
                <w:szCs w:val="18"/>
              </w:rPr>
              <w:t xml:space="preserve">千兆自适应电口</w:t>
            </w:r>
            <w:r>
              <w:rPr>
                <w:sz w:val="18"/>
                <w:szCs w:val="18"/>
              </w:rPr>
              <w:t xml:space="preserve">，</w:t>
            </w:r>
            <w:r>
              <w:rPr>
                <w:rFonts w:hint="eastAsia" w:ascii="宋体" w:hAnsi="宋体"/>
                <w:sz w:val="18"/>
                <w:szCs w:val="18"/>
              </w:rPr>
              <w:t xml:space="preserve">≥</w:t>
            </w:r>
            <w:r>
              <w:rPr>
                <w:rFonts w:hint="eastAsia"/>
                <w:sz w:val="18"/>
                <w:szCs w:val="18"/>
              </w:rPr>
              <w:t xml:space="preserve">4</w:t>
            </w:r>
            <w:r>
              <w:rPr>
                <w:sz w:val="18"/>
                <w:szCs w:val="18"/>
              </w:rPr>
              <w:t xml:space="preserve">个千兆</w:t>
            </w:r>
            <w:r>
              <w:rPr>
                <w:rFonts w:hint="eastAsia"/>
                <w:sz w:val="18"/>
                <w:szCs w:val="18"/>
              </w:rPr>
              <w:t xml:space="preserve">SFP</w:t>
            </w:r>
            <w:r>
              <w:rPr>
                <w:sz w:val="18"/>
                <w:szCs w:val="18"/>
              </w:rPr>
              <w:t xml:space="preserve">光口插槽</w:t>
            </w:r>
            <w:r>
              <w:rPr>
                <w:sz w:val="18"/>
                <w:szCs w:val="18"/>
              </w:rPr>
              <w:t xml:space="preserve">，</w:t>
            </w:r>
            <w:r>
              <w:rPr>
                <w:rFonts w:hint="eastAsia" w:ascii="宋体" w:hAnsi="宋体" w:cs="宋体"/>
                <w:sz w:val="18"/>
                <w:szCs w:val="18"/>
              </w:rPr>
              <w:t xml:space="preserve">满足上述接口配置后剩余可用接口扩展槽位不小于2个</w:t>
            </w:r>
            <w:r>
              <w:rPr>
                <w:rFonts w:hint="eastAsia"/>
                <w:sz w:val="18"/>
                <w:szCs w:val="18"/>
              </w:rPr>
              <w:t xml:space="preserve">，支持扩展万兆接口；</w:t>
            </w:r>
            <w:r>
              <w:rPr>
                <w:sz w:val="18"/>
                <w:szCs w:val="18"/>
              </w:rPr>
              <w:t xml:space="preserve">吞吐量</w:t>
            </w:r>
            <w:r>
              <w:rPr>
                <w:rFonts w:hint="eastAsia" w:ascii="宋体" w:hAnsi="宋体"/>
                <w:sz w:val="18"/>
                <w:szCs w:val="18"/>
              </w:rPr>
              <w:t xml:space="preserve">≥2</w:t>
            </w:r>
            <w:r>
              <w:rPr>
                <w:sz w:val="18"/>
                <w:szCs w:val="18"/>
              </w:rPr>
              <w:t xml:space="preserve">Gbps</w:t>
            </w:r>
            <w:r>
              <w:rPr>
                <w:rFonts w:hint="eastAsia"/>
                <w:sz w:val="18"/>
                <w:szCs w:val="18"/>
              </w:rPr>
              <w:t xml:space="preserve">，</w:t>
            </w:r>
            <w:r>
              <w:rPr>
                <w:sz w:val="18"/>
                <w:szCs w:val="18"/>
              </w:rPr>
              <w:t xml:space="preserve">此次</w:t>
            </w:r>
            <w:r>
              <w:rPr>
                <w:rFonts w:hint="eastAsia"/>
                <w:sz w:val="18"/>
                <w:szCs w:val="18"/>
              </w:rPr>
              <w:t xml:space="preserve">提供三年软硬件质保，三</w:t>
            </w:r>
            <w:r>
              <w:rPr>
                <w:sz w:val="18"/>
                <w:szCs w:val="18"/>
              </w:rPr>
              <w:t xml:space="preserve">年特征库升级服务；</w:t>
            </w:r>
            <w:r/>
          </w:p>
        </w:tc>
      </w:tr>
      <w:tr>
        <w:trPr>
          <w:jc w:val="center"/>
          <w:trHeight w:val="77"/>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协议范围</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rPr>
                <w:sz w:val="18"/>
                <w:szCs w:val="18"/>
              </w:rPr>
            </w:pPr>
            <w:r>
              <w:rPr>
                <w:rFonts w:ascii="宋体" w:hAnsi="宋体"/>
                <w:sz w:val="18"/>
                <w:szCs w:val="18"/>
              </w:rPr>
              <w:t xml:space="preserve">▲支持常见HTTP、FTP、TFTP、SMTP、TLS、SSH、IMAP、SMB、Dcerpc、DNS、IKEV2、NFS、Krb5、DHCP、SNMP、SIP、RFB、RDP等应用层协议</w:t>
            </w:r>
            <w:r>
              <w:rPr>
                <w:rFonts w:hint="eastAsia" w:ascii="宋体" w:hAnsi="宋体"/>
                <w:sz w:val="18"/>
                <w:szCs w:val="18"/>
              </w:rPr>
              <w:t xml:space="preserve">；支持物联网Mqtt 协议</w:t>
            </w:r>
            <w:r>
              <w:rPr>
                <w:rFonts w:hint="eastAsia" w:ascii="宋体" w:hAnsi="宋体" w:cs="宋体"/>
                <w:b/>
                <w:bCs/>
                <w:sz w:val="20"/>
                <w:szCs w:val="20"/>
              </w:rPr>
              <w:t xml:space="preserve">（提供具有CMA认证的检测机构出具的检测报告扫描件）</w:t>
            </w:r>
            <w:r/>
          </w:p>
        </w:tc>
      </w:tr>
      <w:tr>
        <w:trPr>
          <w:jc w:val="center"/>
          <w:trHeight w:val="77"/>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抗拒</w:t>
            </w:r>
            <w:r>
              <w:rPr>
                <w:rFonts w:hint="eastAsia" w:ascii="宋体" w:hAnsi="宋体" w:cs="宋体"/>
                <w:b/>
                <w:sz w:val="18"/>
                <w:szCs w:val="18"/>
              </w:rPr>
              <w:t xml:space="preserve">绝服务</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rPr>
                <w:rFonts w:ascii="宋体" w:hAnsi="宋体"/>
                <w:sz w:val="18"/>
                <w:szCs w:val="18"/>
              </w:rPr>
            </w:pPr>
            <w:r>
              <w:rPr>
                <w:rFonts w:ascii="宋体" w:hAnsi="宋体"/>
                <w:sz w:val="18"/>
                <w:szCs w:val="18"/>
              </w:rPr>
              <w:t xml:space="preserve">▲支持对常见的拒绝服务攻击（DDOS）的检测能力，针对TCP FLOOD、UDP FLOOD、ICMP FLOOD攻击行为进行检测，并支持通过控制界面配置攻击的检测时间和阈值条件</w:t>
            </w:r>
            <w:r>
              <w:rPr>
                <w:rFonts w:hint="eastAsia" w:ascii="宋体" w:hAnsi="宋体" w:cs="宋体"/>
                <w:b/>
                <w:bCs/>
                <w:sz w:val="20"/>
                <w:szCs w:val="20"/>
              </w:rPr>
              <w:t xml:space="preserve">（提供具有CMA认证的检测机构出具的检测报告扫描件）</w:t>
            </w:r>
            <w:r/>
          </w:p>
        </w:tc>
      </w:tr>
      <w:tr>
        <w:trPr>
          <w:jc w:val="center"/>
          <w:trHeight w:val="77"/>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数据挖掘</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pStyle w:val="834"/>
              <w:ind w:left="0"/>
              <w:rPr>
                <w:rFonts w:ascii="宋体" w:hAnsi="宋体"/>
                <w:sz w:val="18"/>
                <w:szCs w:val="18"/>
              </w:rPr>
            </w:pPr>
            <w:r>
              <w:rPr>
                <w:rFonts w:cstheme="minorHAnsi"/>
                <w:sz w:val="18"/>
                <w:szCs w:val="18"/>
              </w:rPr>
              <w:t xml:space="preserve">支持对流量统计对象的数据挖掘和回溯分析，统计对象包括但不限于概要统计、国家地区、</w:t>
            </w:r>
            <w:r>
              <w:rPr>
                <w:rFonts w:cstheme="minorHAnsi"/>
                <w:sz w:val="18"/>
                <w:szCs w:val="18"/>
              </w:rPr>
              <w:t xml:space="preserve">IP</w:t>
            </w:r>
            <w:r>
              <w:rPr>
                <w:rFonts w:cstheme="minorHAnsi"/>
                <w:sz w:val="18"/>
                <w:szCs w:val="18"/>
              </w:rPr>
              <w:t xml:space="preserve">地址、物理地址、网段、网络协议、网络应用、服务端口、</w:t>
            </w:r>
            <w:r>
              <w:rPr>
                <w:rFonts w:cstheme="minorHAnsi"/>
                <w:sz w:val="18"/>
                <w:szCs w:val="18"/>
              </w:rPr>
              <w:t xml:space="preserve">IP</w:t>
            </w:r>
            <w:r>
              <w:rPr>
                <w:rFonts w:cstheme="minorHAnsi"/>
                <w:sz w:val="18"/>
                <w:szCs w:val="18"/>
              </w:rPr>
              <w:t xml:space="preserve">会话、</w:t>
            </w:r>
            <w:r>
              <w:rPr>
                <w:rFonts w:cstheme="minorHAnsi"/>
                <w:sz w:val="18"/>
                <w:szCs w:val="18"/>
              </w:rPr>
              <w:t xml:space="preserve">TCP</w:t>
            </w:r>
            <w:r>
              <w:rPr>
                <w:rFonts w:cstheme="minorHAnsi"/>
                <w:sz w:val="18"/>
                <w:szCs w:val="18"/>
              </w:rPr>
              <w:t xml:space="preserve">会话、</w:t>
            </w:r>
            <w:r>
              <w:rPr>
                <w:rFonts w:cstheme="minorHAnsi"/>
                <w:sz w:val="18"/>
                <w:szCs w:val="18"/>
              </w:rPr>
              <w:t xml:space="preserve">UDP</w:t>
            </w:r>
            <w:r>
              <w:rPr>
                <w:rFonts w:cstheme="minorHAnsi"/>
                <w:sz w:val="18"/>
                <w:szCs w:val="18"/>
              </w:rPr>
              <w:t xml:space="preserve">会话、互联网设备等，可对多个对象进行历史流量趋势分析，支持多个对象之间相互下钻挖掘分析，</w:t>
            </w:r>
            <w:r>
              <w:rPr>
                <w:rFonts w:cstheme="minorHAnsi"/>
                <w:sz w:val="18"/>
                <w:szCs w:val="18"/>
              </w:rPr>
              <w:t xml:space="preserve">可框选图表</w:t>
            </w:r>
            <w:r>
              <w:rPr>
                <w:rFonts w:cstheme="minorHAnsi"/>
                <w:sz w:val="18"/>
                <w:szCs w:val="18"/>
              </w:rPr>
              <w:t xml:space="preserve">时间检索提取数据包；</w:t>
            </w:r>
            <w:r>
              <w:rPr>
                <w:rFonts w:hint="eastAsia" w:ascii="宋体" w:hAnsi="宋体" w:cs="宋体"/>
                <w:b/>
                <w:bCs/>
                <w:sz w:val="18"/>
                <w:szCs w:val="18"/>
              </w:rPr>
              <w:t xml:space="preserve">（提供产品功能截图）</w:t>
            </w:r>
            <w:r/>
          </w:p>
        </w:tc>
      </w:tr>
      <w:tr>
        <w:trPr>
          <w:jc w:val="center"/>
          <w:trHeight w:val="77"/>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监测能力</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rPr>
                <w:rFonts w:ascii="宋体" w:hAnsi="宋体"/>
                <w:sz w:val="18"/>
                <w:szCs w:val="18"/>
              </w:rPr>
            </w:pPr>
            <w:r>
              <w:rPr>
                <w:rFonts w:ascii="宋体" w:hAnsi="宋体"/>
                <w:sz w:val="18"/>
                <w:szCs w:val="18"/>
              </w:rPr>
              <w:t xml:space="preserve">▲支持基于不完整会话流的单包攻击检测能力</w:t>
            </w:r>
            <w:r>
              <w:rPr>
                <w:rFonts w:hint="eastAsia" w:ascii="宋体" w:hAnsi="宋体"/>
                <w:sz w:val="18"/>
                <w:szCs w:val="18"/>
              </w:rPr>
              <w:t xml:space="preserve">；支持常见工控协议 Modubus、Enip等协议，支持5G 信令面 HTTP2协议解析</w:t>
            </w:r>
            <w:r>
              <w:rPr>
                <w:rFonts w:hint="eastAsia" w:ascii="宋体" w:hAnsi="宋体" w:cs="宋体"/>
                <w:b/>
                <w:bCs/>
                <w:sz w:val="20"/>
                <w:szCs w:val="20"/>
              </w:rPr>
              <w:t xml:space="preserve">（提供具有CMA认证的检测机构出具的检测报告扫描件）</w:t>
            </w:r>
            <w:r/>
          </w:p>
        </w:tc>
      </w:tr>
      <w:tr>
        <w:trPr>
          <w:jc w:val="center"/>
          <w:trHeight w:val="77"/>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自定义检测</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rPr>
                <w:rFonts w:ascii="宋体" w:hAnsi="宋体" w:cs="宋体"/>
                <w:sz w:val="18"/>
                <w:szCs w:val="18"/>
              </w:rPr>
            </w:pPr>
            <w:r>
              <w:rPr>
                <w:sz w:val="18"/>
                <w:szCs w:val="18"/>
              </w:rPr>
              <w:t xml:space="preserve">支持自定义规则，可结合用户业务进行深度检测，自定义内容包括源</w:t>
            </w:r>
            <w:r>
              <w:rPr>
                <w:sz w:val="18"/>
                <w:szCs w:val="18"/>
              </w:rPr>
              <w:t xml:space="preserve">IP</w:t>
            </w:r>
            <w:r>
              <w:rPr>
                <w:sz w:val="18"/>
                <w:szCs w:val="18"/>
              </w:rPr>
              <w:t xml:space="preserve">、源端口、目的</w:t>
            </w:r>
            <w:r>
              <w:rPr>
                <w:sz w:val="18"/>
                <w:szCs w:val="18"/>
              </w:rPr>
              <w:t xml:space="preserve">IP</w:t>
            </w:r>
            <w:r>
              <w:rPr>
                <w:sz w:val="18"/>
                <w:szCs w:val="18"/>
              </w:rPr>
              <w:t xml:space="preserve">、目的端口、协议、事件威胁等级、主机状态、事件类型、攻击阶段、攻击结果、攻击手段；支持关</w:t>
            </w:r>
            <w:r/>
          </w:p>
        </w:tc>
      </w:tr>
      <w:tr>
        <w:trPr>
          <w:jc w:val="center"/>
          <w:trHeight w:val="77"/>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口令爆破</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spacing w:line="312" w:lineRule="atLeast"/>
              <w:rPr>
                <w:sz w:val="18"/>
                <w:szCs w:val="18"/>
              </w:rPr>
            </w:pPr>
            <w:r>
              <w:rPr>
                <w:rFonts w:ascii="宋体" w:hAnsi="宋体"/>
                <w:sz w:val="18"/>
                <w:szCs w:val="18"/>
              </w:rPr>
              <w:t xml:space="preserve">▲</w:t>
            </w:r>
            <w:r>
              <w:rPr>
                <w:sz w:val="18"/>
                <w:szCs w:val="18"/>
              </w:rPr>
              <w:t xml:space="preserve">系统具备口令爆破分析场景；支持展示爆破端口、爆破结果、爆破用户名、爆破次数、最近爆破时间，可通爆破端口、爆破用户名等分析加强内网用账户安全</w:t>
            </w:r>
            <w:r>
              <w:rPr>
                <w:rFonts w:hint="eastAsia"/>
                <w:sz w:val="18"/>
                <w:szCs w:val="18"/>
              </w:rPr>
              <w:t xml:space="preserve">；系统具备脆弱口令分析场景：支持分析登录用户名、</w:t>
            </w:r>
            <w:r/>
          </w:p>
          <w:p>
            <w:pPr>
              <w:spacing w:line="312" w:lineRule="atLeast"/>
              <w:rPr>
                <w:rFonts w:ascii="宋体" w:hAnsi="宋体"/>
                <w:sz w:val="18"/>
                <w:szCs w:val="18"/>
              </w:rPr>
            </w:pPr>
            <w:r>
              <w:rPr>
                <w:rFonts w:hint="eastAsia"/>
                <w:sz w:val="18"/>
                <w:szCs w:val="18"/>
              </w:rPr>
              <w:t xml:space="preserve">用户口令（需特定账户查看）、访问时间</w:t>
            </w:r>
            <w:r>
              <w:rPr>
                <w:rFonts w:hint="eastAsia" w:ascii="宋体" w:hAnsi="宋体" w:cs="宋体"/>
                <w:b/>
                <w:bCs/>
                <w:sz w:val="20"/>
                <w:szCs w:val="20"/>
              </w:rPr>
              <w:t xml:space="preserve">（提供具有CMA认证的检测机构出具的检测报告扫描件）</w:t>
            </w:r>
            <w:r/>
          </w:p>
        </w:tc>
      </w:tr>
      <w:tr>
        <w:trPr>
          <w:jc w:val="center"/>
          <w:trHeight w:val="77"/>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宋体" w:hAnsi="宋体"/>
                <w:b/>
                <w:sz w:val="18"/>
                <w:szCs w:val="18"/>
              </w:rPr>
            </w:pPr>
            <w:r>
              <w:rPr>
                <w:rFonts w:hint="eastAsia" w:ascii="宋体" w:hAnsi="宋体"/>
                <w:b/>
                <w:sz w:val="18"/>
                <w:szCs w:val="18"/>
              </w:rPr>
              <w:t xml:space="preserve">木马检测</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spacing w:line="312" w:lineRule="atLeast"/>
              <w:rPr>
                <w:sz w:val="18"/>
                <w:szCs w:val="18"/>
              </w:rPr>
            </w:pPr>
            <w:r>
              <w:rPr>
                <w:rFonts w:ascii="宋体" w:hAnsi="宋体"/>
                <w:sz w:val="18"/>
                <w:szCs w:val="18"/>
              </w:rPr>
              <w:t xml:space="preserve">▲</w:t>
            </w:r>
            <w:r>
              <w:rPr>
                <w:sz w:val="18"/>
                <w:szCs w:val="18"/>
              </w:rPr>
              <w:t xml:space="preserve">支持对检测的告警事件结合双向检测机制、原始数据包和</w:t>
            </w:r>
            <w:r>
              <w:rPr>
                <w:sz w:val="18"/>
                <w:szCs w:val="18"/>
              </w:rPr>
              <w:t xml:space="preserve">研判</w:t>
            </w:r>
            <w:r>
              <w:rPr>
                <w:sz w:val="18"/>
                <w:szCs w:val="18"/>
              </w:rPr>
              <w:t xml:space="preserve">模型进行深层次</w:t>
            </w:r>
            <w:r>
              <w:rPr>
                <w:sz w:val="18"/>
                <w:szCs w:val="18"/>
              </w:rPr>
              <w:t xml:space="preserve">研</w:t>
            </w:r>
            <w:r>
              <w:rPr>
                <w:sz w:val="18"/>
                <w:szCs w:val="18"/>
              </w:rPr>
              <w:t xml:space="preserve">判给出告警事件的攻击结果，至少包含的结果类型为：攻击尝试、攻击成功、正在利用</w:t>
            </w:r>
            <w:r>
              <w:rPr>
                <w:rFonts w:hint="eastAsia" w:ascii="宋体" w:hAnsi="宋体" w:cs="宋体"/>
                <w:b/>
                <w:bCs/>
                <w:sz w:val="20"/>
                <w:szCs w:val="20"/>
              </w:rPr>
              <w:t xml:space="preserve">（提供具有CMA认证的检测机构出具的检测报告扫描件）</w:t>
            </w:r>
            <w:r/>
          </w:p>
        </w:tc>
      </w:tr>
      <w:tr>
        <w:trPr>
          <w:jc w:val="center"/>
          <w:trHeight w:val="77"/>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宋体" w:hAnsi="宋体"/>
                <w:b/>
                <w:sz w:val="18"/>
                <w:szCs w:val="18"/>
              </w:rPr>
            </w:pPr>
            <w:r>
              <w:rPr>
                <w:rFonts w:hint="eastAsia" w:ascii="宋体" w:hAnsi="宋体"/>
                <w:b/>
                <w:sz w:val="18"/>
                <w:szCs w:val="18"/>
              </w:rPr>
              <w:t xml:space="preserve">数据包重放</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pStyle w:val="834"/>
              <w:ind w:left="0"/>
              <w:rPr>
                <w:sz w:val="18"/>
                <w:szCs w:val="18"/>
              </w:rPr>
            </w:pPr>
            <w:r>
              <w:rPr>
                <w:rFonts w:cstheme="minorHAnsi"/>
                <w:sz w:val="18"/>
                <w:szCs w:val="18"/>
              </w:rPr>
              <w:t xml:space="preserve">支持原始数据包重放，可灵活选择需要回放的数据包，回放条件支持起止时间、采集接口、</w:t>
            </w:r>
            <w:r>
              <w:rPr>
                <w:rFonts w:cstheme="minorHAnsi"/>
                <w:sz w:val="18"/>
                <w:szCs w:val="18"/>
              </w:rPr>
              <w:t xml:space="preserve">BPF</w:t>
            </w:r>
            <w:r>
              <w:rPr>
                <w:rFonts w:cstheme="minorHAnsi"/>
                <w:sz w:val="18"/>
                <w:szCs w:val="18"/>
              </w:rPr>
              <w:t xml:space="preserve">语法过滤规则、基于流的六元组过滤规则（源</w:t>
            </w:r>
            <w:r>
              <w:rPr>
                <w:rFonts w:cstheme="minorHAnsi"/>
                <w:sz w:val="18"/>
                <w:szCs w:val="18"/>
              </w:rPr>
              <w:t xml:space="preserve">IP</w:t>
            </w:r>
            <w:r>
              <w:rPr>
                <w:rFonts w:cstheme="minorHAnsi"/>
                <w:sz w:val="18"/>
                <w:szCs w:val="18"/>
              </w:rPr>
              <w:t xml:space="preserve">、目的</w:t>
            </w:r>
            <w:r>
              <w:rPr>
                <w:rFonts w:cstheme="minorHAnsi"/>
                <w:sz w:val="18"/>
                <w:szCs w:val="18"/>
              </w:rPr>
              <w:t xml:space="preserve">IP</w:t>
            </w:r>
            <w:r>
              <w:rPr>
                <w:rFonts w:cstheme="minorHAnsi"/>
                <w:sz w:val="18"/>
                <w:szCs w:val="18"/>
              </w:rPr>
              <w:t xml:space="preserve">、源端口、目的端口、源或目的</w:t>
            </w:r>
            <w:r>
              <w:rPr>
                <w:rFonts w:cstheme="minorHAnsi"/>
                <w:sz w:val="18"/>
                <w:szCs w:val="18"/>
              </w:rPr>
              <w:t xml:space="preserve">IP</w:t>
            </w:r>
            <w:r>
              <w:rPr>
                <w:rFonts w:cstheme="minorHAnsi"/>
                <w:sz w:val="18"/>
                <w:szCs w:val="18"/>
              </w:rPr>
              <w:t xml:space="preserve">、源或目的端口），支持回放任务自主可控，可随时暂停、随时开始；</w:t>
            </w:r>
            <w:r>
              <w:rPr>
                <w:rFonts w:hint="eastAsia" w:ascii="宋体" w:hAnsi="宋体" w:cs="宋体"/>
                <w:b/>
                <w:bCs/>
                <w:sz w:val="18"/>
                <w:szCs w:val="18"/>
              </w:rPr>
              <w:t xml:space="preserve">（提供产品功能截图）</w:t>
            </w:r>
            <w:r/>
          </w:p>
        </w:tc>
      </w:tr>
      <w:tr>
        <w:trPr>
          <w:jc w:val="center"/>
          <w:trHeight w:val="77"/>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宋体" w:hAnsi="宋体" w:cs="宋体"/>
                <w:b/>
                <w:sz w:val="18"/>
                <w:szCs w:val="18"/>
              </w:rPr>
            </w:pPr>
            <w:r>
              <w:rPr>
                <w:rFonts w:hint="eastAsia" w:ascii="宋体" w:hAnsi="宋体"/>
                <w:b/>
                <w:sz w:val="18"/>
                <w:szCs w:val="18"/>
              </w:rPr>
              <w:t xml:space="preserve">挖矿检测</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spacing w:line="312" w:lineRule="atLeast"/>
              <w:rPr>
                <w:rFonts w:ascii="宋体" w:hAnsi="宋体"/>
                <w:sz w:val="18"/>
                <w:szCs w:val="18"/>
              </w:rPr>
            </w:pPr>
            <w:r>
              <w:rPr>
                <w:rFonts w:ascii="宋体" w:hAnsi="宋体"/>
                <w:sz w:val="18"/>
                <w:szCs w:val="18"/>
              </w:rPr>
              <w:t xml:space="preserve">▲</w:t>
            </w:r>
            <w:r>
              <w:rPr>
                <w:sz w:val="18"/>
                <w:szCs w:val="18"/>
              </w:rPr>
              <w:t xml:space="preserve">具备专有的挖矿分析场景：基于特征库和威胁情报检测挖矿主机，对挖矿主机进行不同阶段的展示，至少包括</w:t>
            </w:r>
            <w:r>
              <w:rPr>
                <w:sz w:val="18"/>
                <w:szCs w:val="18"/>
              </w:rPr>
              <w:t xml:space="preserve">连接矿池阶段</w:t>
            </w:r>
            <w:r>
              <w:rPr>
                <w:sz w:val="18"/>
                <w:szCs w:val="18"/>
              </w:rPr>
              <w:t xml:space="preserve">、获取挖矿任务阶段、控制命令通信阶段、挖矿成功阶段，形成挖矿链可视跟踪。对网络中的挖矿主机活跃程度，挖矿币种有直观的图形化展示</w:t>
            </w:r>
            <w:r>
              <w:rPr>
                <w:rFonts w:hint="eastAsia" w:ascii="宋体" w:hAnsi="宋体" w:cs="宋体"/>
                <w:b/>
                <w:bCs/>
                <w:sz w:val="20"/>
                <w:szCs w:val="20"/>
              </w:rPr>
              <w:t xml:space="preserve">（提供具有CMA认证的检测机构出具的检测报告扫描件）</w:t>
            </w:r>
            <w:r/>
          </w:p>
        </w:tc>
      </w:tr>
      <w:tr>
        <w:trPr>
          <w:jc w:val="center"/>
          <w:trHeight w:val="77"/>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系统管理</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spacing w:line="312" w:lineRule="atLeast"/>
              <w:rPr>
                <w:sz w:val="18"/>
                <w:szCs w:val="18"/>
              </w:rPr>
            </w:pPr>
            <w:r>
              <w:rPr>
                <w:rFonts w:ascii="宋体" w:hAnsi="宋体"/>
                <w:sz w:val="18"/>
                <w:szCs w:val="18"/>
              </w:rPr>
              <w:t xml:space="preserve">▲</w:t>
            </w:r>
            <w:r>
              <w:rPr>
                <w:sz w:val="18"/>
                <w:szCs w:val="18"/>
              </w:rPr>
              <w:t xml:space="preserve">支持设备系统管理，可通过页面下发系统自检对设备关键进程进行监测，同时可一键重</w:t>
            </w:r>
            <w:r>
              <w:rPr>
                <w:sz w:val="18"/>
                <w:szCs w:val="18"/>
              </w:rPr>
              <w:t xml:space="preserve">启关键</w:t>
            </w:r>
            <w:r>
              <w:rPr>
                <w:sz w:val="18"/>
                <w:szCs w:val="18"/>
              </w:rPr>
              <w:t xml:space="preserve">进程，增强设备易用性与运维便捷度</w:t>
            </w:r>
            <w:r>
              <w:rPr>
                <w:rFonts w:hint="eastAsia" w:ascii="宋体" w:hAnsi="宋体" w:cs="宋体"/>
                <w:b/>
                <w:bCs/>
                <w:sz w:val="20"/>
                <w:szCs w:val="20"/>
              </w:rPr>
              <w:t xml:space="preserve">（提供具有CMA认证的检测机构出具的检测报告扫描件）</w:t>
            </w:r>
            <w:r/>
          </w:p>
        </w:tc>
      </w:tr>
      <w:tr>
        <w:trPr>
          <w:jc w:val="center"/>
          <w:trHeight w:val="611"/>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宋体" w:hAnsi="宋体" w:cs="宋体"/>
                <w:b/>
                <w:sz w:val="18"/>
                <w:szCs w:val="18"/>
              </w:rPr>
            </w:pPr>
            <w:r>
              <w:rPr>
                <w:rFonts w:hint="eastAsia" w:ascii="宋体" w:hAnsi="宋体" w:cs="宋体"/>
                <w:b/>
                <w:sz w:val="18"/>
                <w:szCs w:val="18"/>
              </w:rPr>
              <w:t xml:space="preserve">加密传输</w:t>
            </w:r>
            <w:r/>
          </w:p>
        </w:tc>
        <w:tc>
          <w:tcPr>
            <w:tcBorders>
              <w:top w:val="single" w:color="auto" w:sz="4" w:space="0"/>
              <w:left w:val="single" w:color="auto" w:sz="4" w:space="0"/>
              <w:bottom w:val="single" w:color="auto" w:sz="4" w:space="0"/>
              <w:right w:val="single" w:color="auto" w:sz="4" w:space="0"/>
            </w:tcBorders>
            <w:tcW w:w="7139" w:type="dxa"/>
            <w:vAlign w:val="center"/>
            <w:textDirection w:val="lrTb"/>
            <w:noWrap w:val="false"/>
          </w:tcPr>
          <w:p>
            <w:pPr>
              <w:spacing w:line="312" w:lineRule="atLeast"/>
              <w:rPr>
                <w:sz w:val="18"/>
                <w:szCs w:val="18"/>
              </w:rPr>
            </w:pPr>
            <w:r>
              <w:rPr>
                <w:rFonts w:ascii="宋体" w:hAnsi="宋体"/>
                <w:sz w:val="18"/>
                <w:szCs w:val="18"/>
              </w:rPr>
              <w:t xml:space="preserve">▲</w:t>
            </w:r>
            <w:r>
              <w:rPr>
                <w:sz w:val="18"/>
                <w:szCs w:val="18"/>
              </w:rPr>
              <w:t xml:space="preserve">kafka</w:t>
            </w:r>
            <w:r>
              <w:rPr>
                <w:sz w:val="18"/>
                <w:szCs w:val="18"/>
              </w:rPr>
              <w:t xml:space="preserve">外</w:t>
            </w:r>
            <w:r>
              <w:rPr>
                <w:sz w:val="18"/>
                <w:szCs w:val="18"/>
              </w:rPr>
              <w:t xml:space="preserve">发方式</w:t>
            </w:r>
            <w:r>
              <w:rPr>
                <w:sz w:val="18"/>
                <w:szCs w:val="18"/>
              </w:rPr>
              <w:t xml:space="preserve">支持安全协议加密，支持的加密套件包括</w:t>
            </w:r>
            <w:r>
              <w:rPr>
                <w:sz w:val="18"/>
                <w:szCs w:val="18"/>
              </w:rPr>
              <w:t xml:space="preserve">PLAIN</w:t>
            </w:r>
            <w:r>
              <w:rPr>
                <w:sz w:val="18"/>
                <w:szCs w:val="18"/>
              </w:rPr>
              <w:t xml:space="preserve">、</w:t>
            </w:r>
            <w:r>
              <w:rPr>
                <w:sz w:val="18"/>
                <w:szCs w:val="18"/>
              </w:rPr>
              <w:t xml:space="preserve">SHA-256</w:t>
            </w:r>
            <w:r>
              <w:rPr>
                <w:sz w:val="18"/>
                <w:szCs w:val="18"/>
              </w:rPr>
              <w:t xml:space="preserve">、</w:t>
            </w:r>
            <w:r>
              <w:rPr>
                <w:sz w:val="18"/>
                <w:szCs w:val="18"/>
              </w:rPr>
              <w:t xml:space="preserve">SHA512</w:t>
            </w:r>
            <w:r>
              <w:rPr>
                <w:sz w:val="18"/>
                <w:szCs w:val="18"/>
              </w:rPr>
              <w:t xml:space="preserve">方式</w:t>
            </w:r>
            <w:r>
              <w:rPr>
                <w:rFonts w:hint="eastAsia" w:ascii="宋体" w:hAnsi="宋体" w:cs="宋体"/>
                <w:b/>
                <w:bCs/>
                <w:sz w:val="20"/>
                <w:szCs w:val="20"/>
              </w:rPr>
              <w:t xml:space="preserve">（提供具有CMA认证的检测机构出具的检测报告扫描件）</w:t>
            </w:r>
            <w:r/>
          </w:p>
        </w:tc>
      </w:tr>
    </w:tbl>
    <w:p>
      <w:pPr>
        <w:rPr>
          <w:rFonts w:ascii="微软雅黑" w:hAnsi="微软雅黑" w:eastAsia="微软雅黑"/>
          <w:sz w:val="22"/>
          <w:highlight w:val="yellow"/>
        </w:rPr>
      </w:pPr>
      <w:r>
        <w:rPr>
          <w:rFonts w:ascii="微软雅黑" w:hAnsi="微软雅黑" w:eastAsia="微软雅黑"/>
          <w:sz w:val="22"/>
          <w:highlight w:val="yellow"/>
        </w:rPr>
      </w:r>
      <w:r/>
    </w:p>
    <w:p>
      <w:pPr>
        <w:numPr>
          <w:ilvl w:val="0"/>
          <w:numId w:val="6"/>
        </w:numPr>
        <w:rPr>
          <w:rFonts w:ascii="微软雅黑" w:hAnsi="微软雅黑" w:eastAsia="微软雅黑"/>
          <w:sz w:val="22"/>
        </w:rPr>
      </w:pPr>
      <w:r>
        <w:rPr>
          <w:rFonts w:hint="eastAsia" w:ascii="微软雅黑" w:hAnsi="微软雅黑" w:eastAsia="微软雅黑"/>
          <w:sz w:val="22"/>
        </w:rPr>
        <w:t xml:space="preserve">测评整改服务</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5"/>
        <w:gridCol w:w="6845"/>
      </w:tblGrid>
      <w:tr>
        <w:trPr>
          <w:jc w:val="center"/>
          <w:trHeight w:val="77"/>
        </w:trPr>
        <w:tc>
          <w:tcPr>
            <w:shd w:val="clear" w:color="auto" w:fill="auto"/>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服务名称</w:t>
            </w:r>
            <w:r/>
          </w:p>
        </w:tc>
        <w:tc>
          <w:tcPr>
            <w:shd w:val="clear" w:color="auto" w:fill="auto"/>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服务内容</w:t>
            </w:r>
            <w:r/>
          </w:p>
        </w:tc>
      </w:tr>
      <w:tr>
        <w:trPr>
          <w:jc w:val="center"/>
          <w:trHeight w:val="77"/>
        </w:trPr>
        <w:tc>
          <w:tcPr>
            <w:shd w:val="clear" w:color="auto" w:fill="auto"/>
            <w:tcBorders>
              <w:top w:val="single" w:color="auto" w:sz="4" w:space="0"/>
              <w:left w:val="single" w:color="auto" w:sz="4" w:space="0"/>
              <w:right w:val="single" w:color="auto" w:sz="4" w:space="0"/>
            </w:tcBorders>
            <w:tcW w:w="1655" w:type="dxa"/>
            <w:vAlign w:val="center"/>
            <w:vMerge w:val="restart"/>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测前准备</w:t>
            </w:r>
            <w:r/>
          </w:p>
        </w:tc>
        <w:tc>
          <w:tcPr>
            <w:shd w:val="clear" w:color="auto" w:fill="auto"/>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ascii="宋体" w:hAnsi="宋体" w:cs="宋体"/>
                <w:b/>
                <w:sz w:val="20"/>
                <w:szCs w:val="20"/>
              </w:rPr>
            </w:pPr>
            <w:r>
              <w:rPr>
                <w:rFonts w:hint="eastAsia" w:ascii="宋体" w:hAnsi="宋体" w:cs="宋体"/>
                <w:b/>
                <w:sz w:val="20"/>
                <w:szCs w:val="20"/>
              </w:rPr>
              <w:t xml:space="preserve">测评前对我局现有网络及相关业务系统进行摸底，提供报告，报告中需体现：1、现状分析含拓扑图。2、整改建议含整改后拓扑图。3、提供整改说明，需对应相关法规。</w:t>
            </w:r>
            <w:r/>
          </w:p>
        </w:tc>
      </w:tr>
      <w:tr>
        <w:trPr>
          <w:jc w:val="center"/>
          <w:trHeight w:val="77"/>
        </w:trPr>
        <w:tc>
          <w:tcPr>
            <w:shd w:val="clear" w:color="auto" w:fill="auto"/>
            <w:tcBorders>
              <w:left w:val="single" w:color="auto" w:sz="4" w:space="0"/>
              <w:bottom w:val="single" w:color="auto" w:sz="4" w:space="0"/>
              <w:right w:val="single" w:color="auto" w:sz="4" w:space="0"/>
            </w:tcBorders>
            <w:tcW w:w="165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ascii="宋体" w:hAnsi="宋体" w:cs="宋体"/>
                <w:b/>
                <w:sz w:val="20"/>
                <w:szCs w:val="20"/>
              </w:rPr>
            </w:pPr>
            <w:r>
              <w:rPr>
                <w:rFonts w:hint="eastAsia" w:ascii="宋体" w:hAnsi="宋体" w:cs="宋体"/>
                <w:b/>
                <w:sz w:val="20"/>
                <w:szCs w:val="20"/>
              </w:rPr>
              <w:t xml:space="preserve">对机房现有设备及线路进行整理，做好相关设备信息、地址及端口信息登记。并且做好标签。</w:t>
            </w:r>
            <w:r/>
          </w:p>
        </w:tc>
      </w:tr>
      <w:tr>
        <w:trPr>
          <w:jc w:val="center"/>
          <w:trHeight w:val="77"/>
        </w:trPr>
        <w:tc>
          <w:tcPr>
            <w:shd w:val="clear" w:color="auto" w:fill="auto"/>
            <w:tcBorders>
              <w:top w:val="single" w:color="auto" w:sz="4" w:space="0"/>
              <w:left w:val="single" w:color="auto" w:sz="4" w:space="0"/>
              <w:right w:val="single" w:color="auto" w:sz="4" w:space="0"/>
            </w:tcBorders>
            <w:tcW w:w="1655" w:type="dxa"/>
            <w:vAlign w:val="center"/>
            <w:vMerge w:val="restart"/>
            <w:textDirection w:val="lrTb"/>
            <w:noWrap w:val="false"/>
          </w:tcPr>
          <w:p>
            <w:pPr>
              <w:jc w:val="center"/>
              <w:widowControl/>
              <w:rPr>
                <w:rFonts w:ascii="宋体" w:hAnsi="宋体" w:cs="宋体"/>
                <w:b/>
                <w:sz w:val="20"/>
                <w:szCs w:val="20"/>
              </w:rPr>
            </w:pPr>
            <w:r>
              <w:rPr>
                <w:rFonts w:hint="eastAsia" w:ascii="宋体" w:hAnsi="宋体" w:cs="宋体"/>
                <w:b/>
                <w:sz w:val="20"/>
                <w:szCs w:val="20"/>
              </w:rPr>
              <w:t xml:space="preserve">测中配合</w:t>
            </w:r>
            <w:r/>
          </w:p>
        </w:tc>
        <w:tc>
          <w:tcPr>
            <w:shd w:val="clear" w:color="auto" w:fill="auto"/>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ascii="宋体" w:hAnsi="宋体" w:cs="宋体"/>
                <w:b/>
                <w:sz w:val="20"/>
                <w:szCs w:val="20"/>
              </w:rPr>
            </w:pPr>
            <w:r>
              <w:rPr>
                <w:rFonts w:hint="eastAsia" w:ascii="宋体" w:hAnsi="宋体" w:cs="宋体"/>
                <w:b/>
                <w:sz w:val="20"/>
                <w:szCs w:val="20"/>
              </w:rPr>
              <w:t xml:space="preserve">在测评过程中配合测评机构全程提供机房内相关设备的软硬件信息、测试服务。</w:t>
            </w:r>
            <w:r/>
          </w:p>
        </w:tc>
      </w:tr>
      <w:tr>
        <w:trPr>
          <w:jc w:val="center"/>
          <w:trHeight w:val="516"/>
        </w:trPr>
        <w:tc>
          <w:tcPr>
            <w:shd w:val="clear" w:color="auto" w:fill="auto"/>
            <w:tcBorders>
              <w:left w:val="single" w:color="auto" w:sz="4" w:space="0"/>
              <w:right w:val="single" w:color="auto" w:sz="4" w:space="0"/>
            </w:tcBorders>
            <w:tcW w:w="1655" w:type="dxa"/>
            <w:vAlign w:val="center"/>
            <w:vMerge w:val="continue"/>
            <w:textDirection w:val="lrTb"/>
            <w:noWrap w:val="false"/>
          </w:tcPr>
          <w:p>
            <w:pPr>
              <w:jc w:val="center"/>
              <w:widowControl/>
              <w:rPr>
                <w:rFonts w:eastAsiaTheme="minorEastAsia"/>
                <w:sz w:val="20"/>
                <w:szCs w:val="20"/>
              </w:rPr>
            </w:pPr>
            <w:r>
              <w:rPr>
                <w:rFonts w:eastAsiaTheme="minorEastAsia"/>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ascii="宋体" w:hAnsi="宋体" w:cs="宋体"/>
                <w:sz w:val="20"/>
                <w:szCs w:val="20"/>
              </w:rPr>
            </w:pPr>
            <w:r>
              <w:rPr>
                <w:rFonts w:hint="eastAsia" w:ascii="宋体" w:hAnsi="宋体" w:cs="宋体"/>
                <w:b/>
                <w:bCs/>
                <w:sz w:val="20"/>
                <w:szCs w:val="20"/>
              </w:rPr>
              <w:t xml:space="preserve">1、协助我局完成相关网络设备的安全设置整改工作</w:t>
            </w:r>
            <w:r/>
          </w:p>
        </w:tc>
      </w:tr>
      <w:tr>
        <w:trPr>
          <w:jc w:val="center"/>
          <w:trHeight w:val="77"/>
        </w:trPr>
        <w:tc>
          <w:tcPr>
            <w:shd w:val="clear" w:color="auto" w:fill="auto"/>
            <w:tcBorders>
              <w:left w:val="single" w:color="auto" w:sz="4" w:space="0"/>
              <w:right w:val="single" w:color="auto" w:sz="4" w:space="0"/>
            </w:tcBorders>
            <w:tcW w:w="165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ascii="宋体" w:hAnsi="宋体" w:cs="宋体"/>
                <w:b/>
                <w:sz w:val="20"/>
                <w:szCs w:val="20"/>
              </w:rPr>
            </w:pPr>
            <w:r>
              <w:rPr>
                <w:rFonts w:hint="eastAsia" w:ascii="宋体" w:hAnsi="宋体" w:cs="宋体"/>
                <w:b/>
                <w:sz w:val="20"/>
                <w:szCs w:val="20"/>
              </w:rPr>
              <w:t xml:space="preserve">2、协助我局完成“财政一体化系统”中相关服务器、业务软件、操作系统、数据库等安全整改工作</w:t>
            </w:r>
            <w:r/>
          </w:p>
        </w:tc>
      </w:tr>
      <w:tr>
        <w:trPr>
          <w:jc w:val="center"/>
          <w:trHeight w:val="77"/>
        </w:trPr>
        <w:tc>
          <w:tcPr>
            <w:shd w:val="clear" w:color="auto" w:fill="auto"/>
            <w:tcBorders>
              <w:left w:val="single" w:color="auto" w:sz="4" w:space="0"/>
              <w:right w:val="single" w:color="auto" w:sz="4" w:space="0"/>
            </w:tcBorders>
            <w:tcW w:w="1655" w:type="dxa"/>
            <w:vAlign w:val="center"/>
            <w:vMerge w:val="continue"/>
            <w:textDirection w:val="lrTb"/>
            <w:noWrap w:val="false"/>
          </w:tcPr>
          <w:p>
            <w:pPr>
              <w:jc w:val="center"/>
              <w:widowControl/>
              <w:rPr>
                <w:rFonts w:ascii="宋体" w:hAnsi="宋体" w:cs="宋体"/>
                <w:b/>
                <w:sz w:val="20"/>
                <w:szCs w:val="20"/>
              </w:rPr>
            </w:pPr>
            <w:r>
              <w:rPr>
                <w:rFonts w:ascii="宋体" w:hAnsi="宋体" w:cs="宋体"/>
                <w:b/>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ascii="宋体" w:hAnsi="宋体" w:cs="宋体"/>
                <w:b/>
                <w:sz w:val="20"/>
                <w:szCs w:val="20"/>
              </w:rPr>
            </w:pPr>
            <w:r>
              <w:rPr>
                <w:rFonts w:hint="eastAsia" w:ascii="宋体" w:hAnsi="宋体" w:cs="宋体"/>
                <w:b/>
                <w:sz w:val="20"/>
                <w:szCs w:val="20"/>
              </w:rPr>
              <w:t xml:space="preserve">3、协助我局完成终端设备的安全使用整改工作</w:t>
            </w:r>
            <w:r/>
          </w:p>
        </w:tc>
      </w:tr>
      <w:tr>
        <w:trPr>
          <w:jc w:val="center"/>
          <w:trHeight w:val="77"/>
        </w:trPr>
        <w:tc>
          <w:tcPr>
            <w:gridSpan w:val="2"/>
            <w:shd w:val="clear" w:color="auto" w:fill="auto"/>
            <w:tcBorders>
              <w:left w:val="single" w:color="auto" w:sz="4" w:space="0"/>
              <w:bottom w:val="single" w:color="auto" w:sz="4" w:space="0"/>
              <w:right w:val="single" w:color="auto" w:sz="4" w:space="0"/>
            </w:tcBorders>
            <w:tcW w:w="8500" w:type="dxa"/>
            <w:vAlign w:val="center"/>
            <w:textDirection w:val="lrTb"/>
            <w:noWrap w:val="false"/>
          </w:tcPr>
          <w:p>
            <w:pPr>
              <w:widowControl/>
              <w:rPr>
                <w:rFonts w:ascii="宋体" w:hAnsi="宋体" w:cs="宋体"/>
                <w:b/>
                <w:sz w:val="20"/>
                <w:szCs w:val="20"/>
              </w:rPr>
            </w:pPr>
            <w:r>
              <w:rPr>
                <w:rFonts w:hint="eastAsia"/>
                <w:b/>
                <w:bCs/>
                <w:sz w:val="20"/>
                <w:szCs w:val="20"/>
              </w:rPr>
              <w:t xml:space="preserve">注：以上安全整改服务内容，投标人</w:t>
            </w:r>
            <w:r>
              <w:rPr>
                <w:rFonts w:hint="eastAsia"/>
                <w:b/>
                <w:bCs/>
                <w:sz w:val="20"/>
                <w:szCs w:val="20"/>
              </w:rPr>
              <w:t xml:space="preserve">需承诺</w:t>
            </w:r>
            <w:r>
              <w:rPr>
                <w:rFonts w:hint="eastAsia"/>
                <w:b/>
                <w:bCs/>
                <w:sz w:val="20"/>
                <w:szCs w:val="20"/>
              </w:rPr>
              <w:t xml:space="preserve">按要求完成相应服务内容，项目交付过程中如有不按规定要求完成服务的，</w:t>
            </w:r>
            <w:r>
              <w:rPr>
                <w:rFonts w:hint="eastAsia"/>
                <w:b/>
                <w:bCs/>
                <w:sz w:val="20"/>
                <w:szCs w:val="20"/>
              </w:rPr>
              <w:t xml:space="preserve">每次扣质保金</w:t>
            </w:r>
            <w:r>
              <w:rPr>
                <w:rFonts w:hint="eastAsia"/>
                <w:b/>
                <w:bCs/>
                <w:sz w:val="20"/>
                <w:szCs w:val="20"/>
              </w:rPr>
              <w:t xml:space="preserve">的</w:t>
            </w:r>
            <w:r>
              <w:rPr>
                <w:rFonts w:hint="eastAsia"/>
                <w:b/>
                <w:bCs/>
                <w:sz w:val="20"/>
                <w:szCs w:val="20"/>
              </w:rPr>
              <w:t xml:space="preserve">10%</w:t>
            </w:r>
            <w:r>
              <w:rPr>
                <w:rFonts w:hint="eastAsia"/>
                <w:b/>
                <w:bCs/>
                <w:sz w:val="20"/>
                <w:szCs w:val="20"/>
              </w:rPr>
              <w:t xml:space="preserve">，扣完为止。</w:t>
            </w:r>
            <w:r/>
          </w:p>
        </w:tc>
      </w:tr>
    </w:tbl>
    <w:p>
      <w:pPr>
        <w:rPr>
          <w:rFonts w:ascii="微软雅黑" w:hAnsi="微软雅黑" w:eastAsia="微软雅黑"/>
          <w:sz w:val="22"/>
          <w:highlight w:val="yellow"/>
        </w:rPr>
      </w:pPr>
      <w:r>
        <w:rPr>
          <w:rFonts w:ascii="微软雅黑" w:hAnsi="微软雅黑" w:eastAsia="微软雅黑"/>
          <w:sz w:val="22"/>
          <w:highlight w:val="yellow"/>
        </w:rPr>
      </w:r>
      <w:r/>
    </w:p>
    <w:p>
      <w:pPr>
        <w:numPr>
          <w:ilvl w:val="0"/>
          <w:numId w:val="6"/>
        </w:numPr>
        <w:rPr>
          <w:rFonts w:ascii="微软雅黑" w:hAnsi="微软雅黑" w:eastAsia="微软雅黑"/>
          <w:sz w:val="22"/>
        </w:rPr>
      </w:pPr>
      <w:r>
        <w:rPr>
          <w:rFonts w:hint="eastAsia" w:ascii="微软雅黑" w:hAnsi="微软雅黑" w:eastAsia="微软雅黑"/>
          <w:sz w:val="22"/>
        </w:rPr>
        <w:t xml:space="preserve">安全服务</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5"/>
        <w:gridCol w:w="6845"/>
      </w:tblGrid>
      <w:tr>
        <w:trPr>
          <w:jc w:val="center"/>
          <w:trHeight w:val="77"/>
        </w:trPr>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widowControl/>
              <w:rPr>
                <w:rFonts w:cs="宋体" w:asciiTheme="minorEastAsia" w:hAnsiTheme="minorEastAsia" w:eastAsiaTheme="minorEastAsia"/>
                <w:b/>
                <w:sz w:val="20"/>
                <w:szCs w:val="20"/>
              </w:rPr>
            </w:pPr>
            <w:r>
              <w:rPr>
                <w:rFonts w:hint="eastAsia" w:cs="宋体" w:asciiTheme="minorEastAsia" w:hAnsiTheme="minorEastAsia" w:eastAsiaTheme="minorEastAsia"/>
                <w:b/>
                <w:sz w:val="20"/>
                <w:szCs w:val="20"/>
              </w:rPr>
              <w:t xml:space="preserve">服务名称</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jc w:val="center"/>
              <w:widowControl/>
              <w:rPr>
                <w:rFonts w:cs="宋体" w:asciiTheme="minorEastAsia" w:hAnsiTheme="minorEastAsia" w:eastAsiaTheme="minorEastAsia"/>
                <w:b/>
                <w:sz w:val="20"/>
                <w:szCs w:val="20"/>
              </w:rPr>
            </w:pPr>
            <w:r>
              <w:rPr>
                <w:rFonts w:hint="eastAsia" w:cs="宋体" w:asciiTheme="minorEastAsia" w:hAnsiTheme="minorEastAsia" w:eastAsiaTheme="minorEastAsia"/>
                <w:b/>
                <w:sz w:val="20"/>
                <w:szCs w:val="20"/>
              </w:rPr>
              <w:t xml:space="preserve">服务内容</w:t>
            </w:r>
            <w:r/>
          </w:p>
        </w:tc>
      </w:tr>
      <w:tr>
        <w:trPr>
          <w:jc w:val="center"/>
          <w:trHeight w:val="77"/>
        </w:trPr>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定期巡检服务</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对我局主机、服务器、数据库、网络设备以及安全设备等设备进行定期巡检，检查设备的运行状态、安全配置、告警信息，对检查结果进行分析，及时发现各设备存在的安全风险与安全隐患，形成安全巡检报告，描述巡检中发现的问题并提供修复方案。一季度至少一次，每年至少6次。</w:t>
            </w:r>
            <w:r/>
          </w:p>
        </w:tc>
      </w:tr>
      <w:tr>
        <w:trPr>
          <w:jc w:val="center"/>
          <w:trHeight w:val="77"/>
        </w:trPr>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漏洞扫描服务</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漏洞扫描是脆弱性识别的重要手段，能够发现设备和系统中存在的严重漏洞，了解技术措施是否有效执行。乙方需采用具有自主知识产权的漏洞扫描工具对服务范围内各类软硬件设备进行对我局主机系统、web应用、网络安全设备等资产进行漏洞扫描，输出漏洞扫描报告，提供漏洞解决方案并协助整改。扫描范围为内网和外网，一年至少两次。</w:t>
            </w:r>
            <w:r/>
          </w:p>
        </w:tc>
      </w:tr>
      <w:tr>
        <w:trPr>
          <w:jc w:val="center"/>
          <w:trHeight w:val="77"/>
        </w:trPr>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渗透测试服务</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针对我局基础网络及应用，由乙方精通渗透测试技术的资深安全专家，在我局授权和监督下，通过外网渗透测试、内网渗透测试、黑盒测试、灰盒测试等多种测试方法，对指定的信息系统进行受控的、非破坏性的模拟性攻击测试，查找信息系统存在的安全隐患，并针对安全隐患提出解决办法，切实保证信息系统安全，检验整体网络系统的安全防护能力，排查安全隐患。</w:t>
            </w:r>
            <w:r/>
          </w:p>
        </w:tc>
      </w:tr>
      <w:tr>
        <w:trPr>
          <w:jc w:val="center"/>
          <w:trHeight w:val="1823"/>
        </w:trPr>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widowControl/>
              <w:rPr>
                <w:rFonts w:asciiTheme="minorEastAsia" w:hAnsiTheme="minorEastAsia" w:eastAsiaTheme="minorEastAsia"/>
                <w:sz w:val="20"/>
                <w:szCs w:val="20"/>
              </w:rPr>
            </w:pPr>
            <w:r>
              <w:rPr>
                <w:rFonts w:hint="eastAsia" w:asciiTheme="minorEastAsia" w:hAnsiTheme="minorEastAsia" w:eastAsiaTheme="minorEastAsia"/>
                <w:sz w:val="20"/>
                <w:szCs w:val="20"/>
              </w:rPr>
              <w:t xml:space="preserve">系统磁盘监测服务</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cs="宋体" w:asciiTheme="minorEastAsia" w:hAnsiTheme="minorEastAsia" w:eastAsiaTheme="minorEastAsia"/>
                <w:sz w:val="20"/>
                <w:szCs w:val="20"/>
              </w:rPr>
            </w:pPr>
            <w:r>
              <w:rPr>
                <w:rFonts w:hint="eastAsia"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针对我局核心业务系统内磁盘，使用专业工具进行检测，提供长期健康状态预测报告。预测结果根据系统运行情况，每周至少更新一次。对将发生故障的介质，提前6周提供一般性预警，提前2周提供严重预警并给出具体症状描述。对CPU、内存、存储空间、网络等基础资源性能及开销情况，提供历史和实时状态统计分析报告。</w:t>
            </w:r>
            <w:r>
              <w:rPr>
                <w:rFonts w:hint="eastAsia" w:cs="宋体" w:asciiTheme="minorEastAsia" w:hAnsiTheme="minorEastAsia" w:eastAsiaTheme="minorEastAsia"/>
                <w:b/>
                <w:bCs/>
                <w:sz w:val="20"/>
                <w:szCs w:val="20"/>
              </w:rPr>
              <w:t xml:space="preserve">（中标后投标人需在5个工作日内提供现场测试，如测试不满</w:t>
            </w:r>
            <w:r>
              <w:rPr>
                <w:rFonts w:hint="eastAsia" w:cs="宋体" w:asciiTheme="minorEastAsia" w:hAnsiTheme="minorEastAsia" w:eastAsiaTheme="minorEastAsia"/>
                <w:b/>
                <w:bCs/>
                <w:sz w:val="20"/>
                <w:szCs w:val="20"/>
              </w:rPr>
              <w:t xml:space="preserve">足招标文件实</w:t>
            </w:r>
            <w:r>
              <w:rPr>
                <w:rFonts w:hint="eastAsia" w:cs="宋体" w:asciiTheme="minorEastAsia" w:hAnsiTheme="minorEastAsia" w:eastAsiaTheme="minorEastAsia"/>
                <w:b/>
                <w:bCs/>
                <w:sz w:val="20"/>
                <w:szCs w:val="20"/>
              </w:rPr>
              <w:t xml:space="preserve">际要求</w:t>
            </w:r>
            <w:r>
              <w:rPr>
                <w:rFonts w:hint="eastAsia" w:cs="宋体" w:asciiTheme="minorEastAsia" w:hAnsiTheme="minorEastAsia" w:eastAsiaTheme="minorEastAsia"/>
                <w:b/>
                <w:bCs/>
                <w:sz w:val="20"/>
                <w:szCs w:val="20"/>
              </w:rPr>
              <w:t xml:space="preserve">，则上报相应建管部份进行处理</w:t>
            </w:r>
            <w:r>
              <w:rPr>
                <w:rFonts w:hint="eastAsia" w:cs="宋体" w:asciiTheme="minorEastAsia" w:hAnsiTheme="minorEastAsia" w:eastAsiaTheme="minorEastAsia"/>
                <w:b/>
                <w:bCs/>
                <w:sz w:val="20"/>
                <w:szCs w:val="20"/>
              </w:rPr>
              <w:t xml:space="preserve">）</w:t>
            </w:r>
            <w:r/>
          </w:p>
        </w:tc>
      </w:tr>
      <w:tr>
        <w:trPr>
          <w:jc w:val="center"/>
          <w:trHeight w:val="77"/>
        </w:trPr>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应急响应服务</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提供安全事件应急响应服务，包括但不仅限于病毒事件爆发、网络攻击事件、主机或业务故障事件等，了解安全事件的基本现象，判断安全事件的原因，进行故障和事件的处理，并针对安全事件形成的破坏做出灾难恢复，在必要的情况下，进行入侵追踪和犯罪取证。10分钟内提供电话或网络远程协助，若无法及时解决，1个小时内安排工程师到达现场解决问题。提供应急演练服务，为我局提供专业的安全事件应急演练，通过应急演练的方式为我局制定应急预案，协助我局完善整个应急预案，应急演练一年一次</w:t>
            </w:r>
            <w:r/>
          </w:p>
        </w:tc>
      </w:tr>
      <w:tr>
        <w:trPr>
          <w:jc w:val="center"/>
          <w:trHeight w:val="77"/>
        </w:trPr>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节假日保障服务</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节假日期间提供安全专家在线服务，形成科学、有效、反应迅速的应急工作机制，确保关键信息系统的实体安全、运行安全和数据安全，最大限度地减轻网络与信息安全突发事件的危害，保护我局网络安全。发生重大安全事件时提供7*24H响应，并提供节假日每日值守总结，每日在服务群发送值守总结快报。</w:t>
            </w:r>
            <w:r/>
          </w:p>
        </w:tc>
      </w:tr>
      <w:tr>
        <w:trPr>
          <w:jc w:val="center"/>
          <w:trHeight w:val="77"/>
        </w:trPr>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安全保障服务</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提供安全保障服务，根据巡检、漏洞扫描和安全报告等材料，编写符合我局需求格式的安全报表；在重大事件会议、活动期间，为我局提供网络安全保障服务，做好网络安全检查，加固网络安全系统，安排工程师到现场协助完成保障工作。</w:t>
            </w:r>
            <w:r/>
          </w:p>
        </w:tc>
      </w:tr>
      <w:tr>
        <w:trPr>
          <w:jc w:val="center"/>
          <w:trHeight w:val="77"/>
        </w:trPr>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安全运营报告服务</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▲按月提供安全态势分析报告，输出《安全运营月度报告》，并定期投递到我局邮箱；按年提供安全态势分析报告，展现年度安全运营情况，输出《安全运营年度报告》，投递到我局邮箱</w:t>
            </w:r>
            <w:r/>
          </w:p>
        </w:tc>
      </w:tr>
      <w:tr>
        <w:trPr>
          <w:jc w:val="center"/>
          <w:trHeight w:val="77"/>
        </w:trPr>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安全培训服务</w:t>
            </w:r>
            <w:r/>
          </w:p>
        </w:tc>
        <w:tc>
          <w:tcPr>
            <w:tcBorders>
              <w:top w:val="single" w:color="auto" w:sz="4" w:space="0"/>
              <w:left w:val="single" w:color="auto" w:sz="4" w:space="0"/>
              <w:bottom w:val="single" w:color="auto" w:sz="4" w:space="0"/>
              <w:right w:val="single" w:color="auto" w:sz="4" w:space="0"/>
            </w:tcBorders>
            <w:tcW w:w="6845" w:type="dxa"/>
            <w:vAlign w:val="center"/>
            <w:textDirection w:val="lrTb"/>
            <w:noWrap w:val="false"/>
          </w:tcPr>
          <w:p>
            <w:pPr>
              <w:widowControl/>
              <w:rPr>
                <w:rFonts w:cs="宋体" w:asciiTheme="minorEastAsia" w:hAnsiTheme="minorEastAsia" w:eastAsiaTheme="minorEastAsia"/>
                <w:b/>
                <w:sz w:val="20"/>
                <w:szCs w:val="20"/>
              </w:rPr>
            </w:pPr>
            <w:r>
              <w:rPr>
                <w:rFonts w:hint="eastAsia" w:asciiTheme="minorEastAsia" w:hAnsiTheme="minorEastAsia" w:eastAsiaTheme="minorEastAsia"/>
                <w:sz w:val="20"/>
                <w:szCs w:val="20"/>
              </w:rPr>
              <w:t xml:space="preserve">为我局提供安全培训服务，按年开展安全培训，对我局单位内的工作人员和网络安全管理员进行安全意识培训和安全教育培训，目的是让大家对信息安全的有初步的认识，并逐步提高安全意识，让安全事故可以得到有效的避免。</w:t>
            </w:r>
            <w:r/>
          </w:p>
        </w:tc>
      </w:tr>
      <w:tr>
        <w:trPr>
          <w:jc w:val="center"/>
          <w:trHeight w:val="77"/>
        </w:trPr>
        <w:tc>
          <w:tcPr>
            <w:gridSpan w:val="2"/>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widowControl/>
              <w:rPr>
                <w:rFonts w:asciiTheme="minorEastAsia" w:hAnsiTheme="minorEastAsia" w:eastAsiaTheme="minorEastAsia"/>
                <w:sz w:val="20"/>
                <w:szCs w:val="20"/>
              </w:rPr>
            </w:pPr>
            <w:r>
              <w:rPr>
                <w:rFonts w:hint="eastAsia" w:asciiTheme="minorEastAsia" w:hAnsiTheme="minorEastAsia" w:eastAsiaTheme="minorEastAsia"/>
                <w:b/>
                <w:bCs/>
                <w:sz w:val="20"/>
                <w:szCs w:val="20"/>
              </w:rPr>
              <w:t xml:space="preserve">注：以上安全服务内容，投标人</w:t>
            </w:r>
            <w:r>
              <w:rPr>
                <w:rFonts w:hint="eastAsia" w:asciiTheme="minorEastAsia" w:hAnsiTheme="minorEastAsia" w:eastAsiaTheme="minorEastAsia"/>
                <w:b/>
                <w:bCs/>
                <w:sz w:val="20"/>
                <w:szCs w:val="20"/>
              </w:rPr>
              <w:t xml:space="preserve">需承诺</w:t>
            </w:r>
            <w:r>
              <w:rPr>
                <w:rFonts w:hint="eastAsia" w:asciiTheme="minorEastAsia" w:hAnsiTheme="minorEastAsia" w:eastAsiaTheme="minorEastAsia"/>
                <w:b/>
                <w:bCs/>
                <w:sz w:val="20"/>
                <w:szCs w:val="20"/>
              </w:rPr>
              <w:t xml:space="preserve">按要求完成相应服务内容，项目交付过程中如有不按规定要求完成服务的，</w:t>
            </w:r>
            <w:r>
              <w:rPr>
                <w:rFonts w:hint="eastAsia" w:asciiTheme="minorEastAsia" w:hAnsiTheme="minorEastAsia" w:eastAsiaTheme="minorEastAsia"/>
                <w:b/>
                <w:bCs/>
                <w:sz w:val="20"/>
                <w:szCs w:val="20"/>
              </w:rPr>
              <w:t xml:space="preserve">每次扣质保金</w:t>
            </w:r>
            <w:r>
              <w:rPr>
                <w:rFonts w:hint="eastAsia" w:asciiTheme="minorEastAsia" w:hAnsiTheme="minorEastAsia" w:eastAsiaTheme="minorEastAsia"/>
                <w:b/>
                <w:bCs/>
                <w:sz w:val="20"/>
                <w:szCs w:val="20"/>
              </w:rPr>
              <w:t xml:space="preserve">的10%，扣完为止。</w:t>
            </w:r>
            <w:r/>
          </w:p>
        </w:tc>
      </w:tr>
    </w:tbl>
    <w:p>
      <w:pPr>
        <w:rPr>
          <w:rFonts w:ascii="仿宋" w:hAnsi="仿宋" w:eastAsia="仿宋"/>
          <w:sz w:val="24"/>
          <w:szCs w:val="24"/>
        </w:rPr>
      </w:pPr>
      <w:r>
        <w:rPr>
          <w:rFonts w:ascii="仿宋" w:hAnsi="仿宋" w:eastAsia="仿宋"/>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三、设计及实施方案</w:t>
      </w:r>
      <w:r/>
    </w:p>
    <w:p>
      <w:pPr>
        <w:ind w:firstLine="480"/>
        <w:spacing w:before="120" w:after="120" w:line="360" w:lineRule="auto"/>
        <w:rPr>
          <w:rFonts w:ascii="宋体" w:hAnsi="宋体"/>
          <w:sz w:val="24"/>
          <w:szCs w:val="24"/>
        </w:rPr>
      </w:pPr>
      <w:r>
        <w:rPr>
          <w:rFonts w:hint="eastAsia" w:asciiTheme="minorEastAsia" w:hAnsiTheme="minorEastAsia" w:eastAsiaTheme="minorEastAsia"/>
          <w:sz w:val="24"/>
          <w:szCs w:val="24"/>
        </w:rPr>
        <w:t xml:space="preserve">投标人需提供设计及实施方案，包括：1、测评整改服务方案。2、项目设计目标。3、系统功能设计方案。4、实施目标及步骤。5、方案及价值。整体方案需全面准确，合理可行、条理清晰，具备创新性</w:t>
      </w:r>
      <w:r>
        <w:rPr>
          <w:rFonts w:hint="eastAsia" w:ascii="宋体" w:hAnsi="宋体"/>
          <w:sz w:val="24"/>
          <w:szCs w:val="24"/>
        </w:rPr>
        <w:t xml:space="preserve">。</w:t>
      </w:r>
      <w:r/>
    </w:p>
    <w:p>
      <w:pPr>
        <w:spacing w:before="120" w:after="120"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测评整改服务方案：在等保测评前中后期，考虑现场设备原有情况、</w:t>
      </w:r>
      <w:r>
        <w:rPr>
          <w:rFonts w:hint="eastAsia" w:ascii="宋体" w:hAnsi="宋体"/>
          <w:sz w:val="24"/>
          <w:szCs w:val="24"/>
        </w:rPr>
        <w:t xml:space="preserve">等保要求</w:t>
      </w:r>
      <w:r>
        <w:rPr>
          <w:rFonts w:hint="eastAsia" w:ascii="宋体" w:hAnsi="宋体"/>
          <w:sz w:val="24"/>
          <w:szCs w:val="24"/>
        </w:rPr>
        <w:t xml:space="preserve">规定，做好测前准备协助制定整改措施，协助</w:t>
      </w:r>
      <w:r>
        <w:rPr>
          <w:rFonts w:hint="eastAsia" w:ascii="宋体" w:hAnsi="宋体"/>
          <w:sz w:val="24"/>
          <w:szCs w:val="24"/>
        </w:rPr>
        <w:t xml:space="preserve">完成等保测评</w:t>
      </w:r>
      <w:r>
        <w:rPr>
          <w:rFonts w:hint="eastAsia" w:ascii="宋体" w:hAnsi="宋体"/>
          <w:sz w:val="24"/>
          <w:szCs w:val="24"/>
        </w:rPr>
        <w:t xml:space="preserve">的全流程闭环操作。2、系统设计目标：在系统的前期规划、设计与施工过程中，应充分参考各方面的我局信息化建设的标准与规范，严格遵从各项技术规定，做好对应方案涉及信息化的标准化设计与施工。</w:t>
      </w:r>
      <w:r/>
    </w:p>
    <w:p>
      <w:pPr>
        <w:spacing w:before="120" w:after="120" w:line="360" w:lineRule="auto"/>
        <w:rPr>
          <w:rFonts w:ascii="宋体" w:hAnsi="宋体"/>
          <w:sz w:val="24"/>
          <w:szCs w:val="24"/>
        </w:rPr>
      </w:pPr>
      <w:r>
        <w:rPr>
          <w:rFonts w:hint="eastAsia" w:ascii="宋体" w:hAnsi="宋体"/>
          <w:sz w:val="24"/>
          <w:szCs w:val="24"/>
        </w:rPr>
        <w:t xml:space="preserve">3、系统功能设计方案：详细阐述防火墙系统、</w:t>
      </w:r>
      <w:r>
        <w:rPr>
          <w:rFonts w:hint="eastAsia" w:ascii="宋体" w:hAnsi="宋体" w:cs="宋体"/>
          <w:sz w:val="22"/>
          <w:lang w:bidi="ar"/>
        </w:rPr>
        <w:t xml:space="preserve">入侵检测</w:t>
      </w:r>
      <w:r>
        <w:rPr>
          <w:rFonts w:hint="eastAsia" w:ascii="宋体" w:hAnsi="宋体"/>
          <w:sz w:val="24"/>
          <w:szCs w:val="24"/>
        </w:rPr>
        <w:t xml:space="preserve">、入侵防御系统、日志审计系统、</w:t>
      </w:r>
      <w:r>
        <w:rPr>
          <w:rFonts w:hint="eastAsia" w:ascii="宋体" w:hAnsi="宋体" w:cs="宋体"/>
          <w:szCs w:val="21"/>
          <w:lang w:bidi="ar"/>
        </w:rPr>
        <w:t xml:space="preserve">堡垒机</w:t>
      </w:r>
      <w:r>
        <w:rPr>
          <w:rFonts w:hint="eastAsia" w:ascii="宋体" w:hAnsi="宋体"/>
          <w:sz w:val="24"/>
          <w:szCs w:val="24"/>
        </w:rPr>
        <w:t xml:space="preserve">、</w:t>
      </w:r>
      <w:r>
        <w:rPr>
          <w:rFonts w:hint="eastAsia" w:ascii="宋体" w:hAnsi="宋体" w:cs="宋体"/>
          <w:sz w:val="22"/>
          <w:lang w:bidi="ar"/>
        </w:rPr>
        <w:t xml:space="preserve">上网行为管理</w:t>
      </w:r>
      <w:r>
        <w:rPr>
          <w:rFonts w:hint="eastAsia" w:ascii="宋体" w:hAnsi="宋体"/>
          <w:sz w:val="24"/>
          <w:szCs w:val="24"/>
        </w:rPr>
        <w:t xml:space="preserve">、</w:t>
      </w:r>
      <w:r>
        <w:rPr>
          <w:rFonts w:hint="eastAsia" w:ascii="宋体" w:hAnsi="宋体" w:cs="宋体"/>
          <w:szCs w:val="21"/>
          <w:lang w:bidi="ar"/>
        </w:rPr>
        <w:t xml:space="preserve">VPN、EDR终端防护杀毒、</w:t>
      </w:r>
      <w:r>
        <w:rPr>
          <w:rFonts w:hint="eastAsia" w:ascii="宋体" w:hAnsi="宋体"/>
          <w:sz w:val="24"/>
          <w:szCs w:val="24"/>
        </w:rPr>
        <w:t xml:space="preserve">安全服务所涉内容功能点。描述方案整体设计思路、网络设计、运维等重要设计方案所涉内容。</w:t>
      </w:r>
      <w:r/>
    </w:p>
    <w:p>
      <w:pPr>
        <w:spacing w:before="120" w:after="120" w:line="360" w:lineRule="auto"/>
        <w:rPr>
          <w:rFonts w:ascii="宋体" w:hAnsi="宋体"/>
          <w:sz w:val="24"/>
          <w:szCs w:val="24"/>
        </w:rPr>
      </w:pPr>
      <w:r>
        <w:rPr>
          <w:rFonts w:hint="eastAsia" w:ascii="宋体" w:hAnsi="宋体"/>
          <w:sz w:val="24"/>
          <w:szCs w:val="24"/>
        </w:rPr>
        <w:t xml:space="preserve">4、实施目标及步骤：描述实施方案中具体实施内容和关键实施步骤。</w:t>
      </w:r>
      <w:r/>
    </w:p>
    <w:p>
      <w:pPr>
        <w:spacing w:before="120" w:after="120" w:line="360" w:lineRule="auto"/>
        <w:rPr>
          <w:rFonts w:ascii="宋体" w:hAnsi="宋体"/>
          <w:sz w:val="24"/>
          <w:szCs w:val="24"/>
        </w:rPr>
      </w:pPr>
      <w:r>
        <w:rPr>
          <w:rFonts w:hint="eastAsia" w:ascii="宋体" w:hAnsi="宋体"/>
          <w:sz w:val="24"/>
          <w:szCs w:val="24"/>
        </w:rPr>
        <w:t xml:space="preserve">5、方案及价值：包含但不限于描述实施部署流程、实施部署上线前准备及连通性测试、描述应急事件处理预案。</w:t>
      </w:r>
      <w:r/>
    </w:p>
    <w:p>
      <w:pPr>
        <w:spacing w:before="120" w:after="120" w:line="360" w:lineRule="auto"/>
        <w:rPr>
          <w:rFonts w:ascii="宋体" w:hAnsi="宋体"/>
          <w:b/>
          <w:bCs/>
          <w:sz w:val="24"/>
          <w:szCs w:val="24"/>
        </w:rPr>
      </w:pPr>
      <w:r>
        <w:rPr>
          <w:rFonts w:hint="eastAsia" w:ascii="宋体" w:hAnsi="宋体"/>
          <w:b/>
          <w:bCs/>
          <w:sz w:val="24"/>
          <w:szCs w:val="24"/>
        </w:rPr>
        <w:t xml:space="preserve">四、售后服务</w:t>
      </w:r>
      <w:r/>
    </w:p>
    <w:p>
      <w:pPr>
        <w:spacing w:before="120" w:after="120" w:line="360" w:lineRule="auto"/>
        <w:rPr>
          <w:rFonts w:ascii="宋体" w:hAnsi="宋体"/>
          <w:sz w:val="24"/>
          <w:szCs w:val="24"/>
        </w:rPr>
      </w:pPr>
      <w:r>
        <w:rPr>
          <w:rFonts w:hint="eastAsia" w:ascii="宋体" w:hAnsi="宋体"/>
          <w:sz w:val="24"/>
          <w:szCs w:val="24"/>
        </w:rPr>
        <w:t xml:space="preserve">1、从验收合格交付使用之日开始计算，供应商应对此项目提供承诺的质保和服务期。在质保和服务期内，供应商需提供全免费技术服务，并及时增加或修改采购人提出的功能要求，采购人不支付任何费用。</w:t>
      </w:r>
      <w:r/>
    </w:p>
    <w:p>
      <w:pPr>
        <w:spacing w:before="120" w:after="120" w:line="360" w:lineRule="auto"/>
        <w:rPr>
          <w:rFonts w:ascii="宋体" w:hAnsi="宋体"/>
          <w:sz w:val="24"/>
          <w:szCs w:val="24"/>
        </w:rPr>
      </w:pPr>
      <w:r>
        <w:rPr>
          <w:rFonts w:hint="eastAsia" w:ascii="宋体" w:hAnsi="宋体"/>
          <w:sz w:val="24"/>
          <w:szCs w:val="24"/>
        </w:rPr>
        <w:t xml:space="preserve">2、本项目所需的质保和服务要求为：供应商提供至少三年产品原厂质保、授权及升级服务，至少三年（7×24小时）免费上门维修服务的承诺书。</w:t>
      </w:r>
      <w:r/>
    </w:p>
    <w:p>
      <w:pPr>
        <w:spacing w:before="120" w:after="120" w:line="360" w:lineRule="auto"/>
        <w:rPr>
          <w:rFonts w:ascii="宋体" w:hAnsi="宋体"/>
          <w:sz w:val="24"/>
          <w:szCs w:val="24"/>
        </w:rPr>
      </w:pPr>
      <w:r>
        <w:rPr>
          <w:rFonts w:hint="eastAsia" w:ascii="宋体" w:hAnsi="宋体"/>
          <w:sz w:val="24"/>
          <w:szCs w:val="24"/>
        </w:rPr>
        <w:t xml:space="preserve">3、技术支持响应时间：硬件发生故障时，10分钟内响应，维修人员能够在2小时内赶到现场，24小时内解决故障；软件系统发生故障时，15分钟内远程响应，能够在6小时内解决故障。不按规定</w:t>
      </w:r>
      <w:r>
        <w:rPr>
          <w:rFonts w:hint="eastAsia" w:ascii="宋体" w:hAnsi="宋体"/>
          <w:sz w:val="24"/>
          <w:szCs w:val="24"/>
        </w:rPr>
        <w:t xml:space="preserve">要求维保的</w:t>
      </w:r>
      <w:r>
        <w:rPr>
          <w:rFonts w:hint="eastAsia" w:ascii="宋体" w:hAnsi="宋体"/>
          <w:sz w:val="24"/>
          <w:szCs w:val="24"/>
        </w:rPr>
        <w:t xml:space="preserve">，</w:t>
      </w:r>
      <w:r>
        <w:rPr>
          <w:rFonts w:hint="eastAsia" w:ascii="宋体" w:hAnsi="宋体"/>
          <w:sz w:val="24"/>
          <w:szCs w:val="24"/>
        </w:rPr>
        <w:t xml:space="preserve">每次扣质保金</w:t>
      </w:r>
      <w:r>
        <w:rPr>
          <w:rFonts w:hint="eastAsia" w:ascii="宋体" w:hAnsi="宋体"/>
          <w:sz w:val="24"/>
          <w:szCs w:val="24"/>
        </w:rPr>
        <w:t xml:space="preserve">的10%，扣完为止。</w:t>
      </w:r>
      <w:r/>
    </w:p>
    <w:p>
      <w:pPr>
        <w:spacing w:before="120" w:after="120" w:line="360" w:lineRule="auto"/>
        <w:rPr>
          <w:rFonts w:ascii="宋体" w:hAnsi="宋体"/>
          <w:sz w:val="24"/>
          <w:szCs w:val="24"/>
        </w:rPr>
      </w:pPr>
      <w:r>
        <w:rPr>
          <w:rFonts w:hint="eastAsia" w:ascii="宋体" w:hAnsi="宋体"/>
          <w:sz w:val="24"/>
          <w:szCs w:val="24"/>
        </w:rPr>
        <w:t xml:space="preserve">4、备品备件：需提供甲方认可的主材备品备件，主材备品备件放于甲方指定地点保管。</w:t>
      </w:r>
      <w:r/>
    </w:p>
    <w:p>
      <w:pPr>
        <w:spacing w:before="120" w:after="120" w:line="360" w:lineRule="auto"/>
        <w:rPr>
          <w:rFonts w:ascii="宋体" w:hAnsi="宋体"/>
          <w:sz w:val="24"/>
          <w:szCs w:val="24"/>
        </w:rPr>
      </w:pPr>
      <w:r>
        <w:rPr>
          <w:rFonts w:hint="eastAsia" w:ascii="宋体" w:hAnsi="宋体"/>
          <w:sz w:val="24"/>
          <w:szCs w:val="24"/>
        </w:rPr>
        <w:t xml:space="preserve">五、供货期：合同签订后20天内按采购人要求送至指定地点，并安装调试到位。</w:t>
      </w:r>
      <w:r/>
    </w:p>
    <w:p>
      <w:pPr>
        <w:spacing w:line="360" w:lineRule="auto"/>
        <w:rPr>
          <w:rFonts w:ascii="宋体" w:hAnsi="宋体"/>
          <w:sz w:val="24"/>
          <w:szCs w:val="24"/>
        </w:rPr>
      </w:pPr>
      <w:r>
        <w:rPr>
          <w:rFonts w:hint="eastAsia" w:ascii="宋体" w:hAnsi="宋体"/>
          <w:sz w:val="24"/>
          <w:szCs w:val="24"/>
        </w:rPr>
        <w:t xml:space="preserve">六、付款方式：自合同签订之日先行预支</w:t>
      </w:r>
      <w:r>
        <w:rPr>
          <w:rFonts w:hint="eastAsia" w:ascii="宋体" w:hAnsi="宋体"/>
          <w:sz w:val="24"/>
          <w:szCs w:val="24"/>
        </w:rPr>
        <w:t xml:space="preserve">付合同</w:t>
      </w:r>
      <w:r>
        <w:rPr>
          <w:rFonts w:hint="eastAsia" w:ascii="宋体" w:hAnsi="宋体"/>
          <w:sz w:val="24"/>
          <w:szCs w:val="24"/>
        </w:rPr>
        <w:t xml:space="preserve">总价款的30%，标的物全部到场且均已安装完毕后经甲方组织验收合格后支付至合同总价款的90%，设备正常稳定运行，运维、安全服务满一年期后经甲方确认合格一个月内支付尾款10%。</w:t>
      </w:r>
      <w:r/>
    </w:p>
    <w:p>
      <w:pPr>
        <w:rPr>
          <w:rFonts w:ascii="宋体" w:hAnsi="宋体"/>
          <w:sz w:val="18"/>
          <w:szCs w:val="18"/>
        </w:rPr>
      </w:pPr>
      <w:r>
        <w:rPr>
          <w:rFonts w:ascii="宋体" w:hAnsi="宋体"/>
          <w:sz w:val="18"/>
          <w:szCs w:val="18"/>
        </w:rPr>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评标方法与评标标准</w:t>
      </w:r>
      <w:r/>
    </w:p>
    <w:p>
      <w:pPr>
        <w:rPr>
          <w:rFonts w:ascii="Times New Roman" w:hAnsi="Times New Roman"/>
          <w:szCs w:val="21"/>
        </w:rPr>
      </w:pPr>
      <w:r>
        <w:rPr>
          <w:rFonts w:ascii="Times New Roman" w:hAnsi="Times New Roman"/>
          <w:szCs w:val="21"/>
        </w:rPr>
      </w:r>
      <w:r/>
    </w:p>
    <w:p>
      <w:pPr>
        <w:ind w:firstLine="439"/>
        <w:jc w:val="left"/>
        <w:spacing w:before="120" w:after="120" w:line="480" w:lineRule="exact"/>
        <w:rPr>
          <w:rFonts w:ascii="宋体" w:hAnsi="宋体" w:cs="Arial"/>
          <w:sz w:val="24"/>
          <w:szCs w:val="24"/>
        </w:rPr>
      </w:pPr>
      <w:r>
        <w:rPr>
          <w:rFonts w:ascii="宋体" w:hAnsi="宋体" w:cs="Arial"/>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Arial"/>
          <w:sz w:val="24"/>
          <w:szCs w:val="24"/>
        </w:rPr>
        <w:t xml:space="preserve">且按照</w:t>
      </w:r>
      <w:r>
        <w:rPr>
          <w:rFonts w:ascii="宋体" w:hAnsi="宋体" w:cs="Arial"/>
          <w:sz w:val="24"/>
          <w:szCs w:val="24"/>
        </w:rPr>
        <w:t xml:space="preserve">评审因素的量化指标评审得分最高的投标人为中标候选人</w:t>
      </w:r>
      <w:r>
        <w:rPr>
          <w:rFonts w:hint="eastAsia" w:ascii="宋体" w:hAnsi="宋体" w:cs="Arial"/>
          <w:sz w:val="24"/>
          <w:szCs w:val="24"/>
        </w:rPr>
        <w:t xml:space="preserve">。本项目选取</w:t>
      </w:r>
      <w:r>
        <w:rPr>
          <w:rFonts w:ascii="宋体" w:hAnsi="宋体" w:cs="Arial"/>
          <w:sz w:val="24"/>
          <w:szCs w:val="24"/>
        </w:rPr>
        <w:t xml:space="preserve">3</w:t>
      </w:r>
      <w:r>
        <w:rPr>
          <w:rFonts w:hint="eastAsia" w:ascii="宋体" w:hAnsi="宋体" w:cs="Arial"/>
          <w:sz w:val="24"/>
          <w:szCs w:val="24"/>
        </w:rPr>
        <w:t xml:space="preserve">名中标候选人。</w:t>
      </w:r>
      <w:r/>
    </w:p>
    <w:p>
      <w:pPr>
        <w:ind w:firstLine="560"/>
        <w:jc w:val="left"/>
        <w:spacing w:line="480" w:lineRule="exact"/>
        <w:rPr>
          <w:rFonts w:ascii="宋体" w:hAnsi="宋体" w:cs="黑体"/>
          <w:bCs/>
          <w:sz w:val="24"/>
          <w:szCs w:val="24"/>
        </w:rPr>
      </w:pPr>
      <w:r>
        <w:rPr>
          <w:rFonts w:hint="eastAsia" w:ascii="宋体" w:hAnsi="宋体" w:cs="黑体"/>
          <w:bCs/>
          <w:sz w:val="24"/>
          <w:szCs w:val="24"/>
        </w:rPr>
        <w:t xml:space="preserve">一、政府采购政策功能落实</w:t>
      </w:r>
      <w:r/>
    </w:p>
    <w:p>
      <w:pPr>
        <w:ind w:firstLine="562"/>
        <w:jc w:val="left"/>
        <w:spacing w:line="480" w:lineRule="exact"/>
        <w:rPr>
          <w:rFonts w:ascii="宋体" w:hAnsi="宋体" w:cs="仿宋_GB2312"/>
          <w:b/>
          <w:bCs/>
          <w:sz w:val="24"/>
          <w:szCs w:val="24"/>
        </w:rPr>
      </w:pPr>
      <w:r>
        <w:rPr>
          <w:rFonts w:hint="eastAsia" w:ascii="宋体" w:hAnsi="宋体" w:cs="仿宋_GB2312"/>
          <w:b/>
          <w:bCs/>
          <w:sz w:val="24"/>
          <w:szCs w:val="24"/>
        </w:rPr>
        <w:t xml:space="preserve">1、小微型企业价格扣除</w:t>
      </w:r>
      <w:r/>
    </w:p>
    <w:p>
      <w:pPr>
        <w:ind w:firstLine="560"/>
        <w:jc w:val="left"/>
        <w:spacing w:line="480" w:lineRule="exact"/>
        <w:rPr>
          <w:rFonts w:ascii="宋体" w:hAnsi="宋体" w:cs="仿宋_GB2312"/>
          <w:sz w:val="24"/>
          <w:szCs w:val="24"/>
        </w:rPr>
      </w:pPr>
      <w:r>
        <w:rPr>
          <w:rFonts w:hint="eastAsia" w:ascii="宋体" w:hAnsi="宋体" w:cs="仿宋_GB2312"/>
          <w:sz w:val="24"/>
          <w:szCs w:val="24"/>
        </w:rPr>
        <w:t xml:space="preserve">（1）本项目对小型和微型企业产品给予</w:t>
      </w:r>
      <w:r>
        <w:rPr>
          <w:rFonts w:hint="eastAsia" w:ascii="宋体" w:hAnsi="宋体" w:cs="仿宋_GB2312"/>
          <w:sz w:val="24"/>
          <w:szCs w:val="24"/>
          <w:u w:val="single"/>
        </w:rPr>
        <w:t xml:space="preserve">10%</w:t>
      </w:r>
      <w:r>
        <w:rPr>
          <w:rFonts w:hint="eastAsia" w:ascii="宋体" w:hAnsi="宋体" w:cs="仿宋_GB2312"/>
          <w:sz w:val="24"/>
          <w:szCs w:val="24"/>
        </w:rPr>
        <w:t xml:space="preserve">的扣除价格，用扣除后的价格参与评审。</w:t>
      </w:r>
      <w:r/>
    </w:p>
    <w:p>
      <w:pPr>
        <w:ind w:firstLine="560"/>
        <w:jc w:val="left"/>
        <w:spacing w:line="480" w:lineRule="exact"/>
        <w:rPr>
          <w:rFonts w:ascii="宋体" w:hAnsi="宋体" w:cs="仿宋_GB2312"/>
          <w:sz w:val="24"/>
          <w:szCs w:val="24"/>
        </w:rPr>
      </w:pPr>
      <w:r>
        <w:rPr>
          <w:rFonts w:hint="eastAsia" w:ascii="宋体" w:hAnsi="宋体" w:cs="仿宋_GB2312"/>
          <w:sz w:val="24"/>
          <w:szCs w:val="24"/>
        </w:rPr>
        <w:t xml:space="preserve">（2）供应商需按照采购文件的要求提供相应的《小微企业声明函》。</w:t>
      </w:r>
      <w:r/>
    </w:p>
    <w:p>
      <w:pPr>
        <w:ind w:firstLine="560"/>
        <w:jc w:val="left"/>
        <w:spacing w:line="480" w:lineRule="exact"/>
        <w:rPr>
          <w:rFonts w:ascii="宋体" w:hAnsi="宋体" w:cs="仿宋_GB2312"/>
          <w:sz w:val="24"/>
          <w:szCs w:val="24"/>
        </w:rPr>
      </w:pPr>
      <w:r>
        <w:rPr>
          <w:rFonts w:hint="eastAsia" w:ascii="宋体" w:hAnsi="宋体" w:cs="仿宋_GB2312"/>
          <w:sz w:val="24"/>
          <w:szCs w:val="24"/>
        </w:rPr>
        <w:t xml:space="preserve">（3）企业标准请参照《关于印发中小企业划型标准规定的通知》（工信部联企业[2011]300号）文件规定自行填写。</w:t>
      </w:r>
      <w:r/>
    </w:p>
    <w:p>
      <w:pPr>
        <w:ind w:firstLine="562"/>
        <w:jc w:val="left"/>
        <w:spacing w:line="480" w:lineRule="exact"/>
        <w:rPr>
          <w:rFonts w:ascii="宋体" w:hAnsi="宋体" w:cs="仿宋_GB2312"/>
          <w:b/>
          <w:bCs/>
          <w:sz w:val="24"/>
          <w:szCs w:val="24"/>
        </w:rPr>
      </w:pPr>
      <w:r>
        <w:rPr>
          <w:rFonts w:hint="eastAsia" w:ascii="宋体" w:hAnsi="宋体" w:cs="仿宋_GB2312"/>
          <w:b/>
          <w:bCs/>
          <w:sz w:val="24"/>
          <w:szCs w:val="24"/>
        </w:rPr>
        <w:t xml:space="preserve">2、残疾人福利单位价格扣除</w:t>
      </w:r>
      <w:r/>
    </w:p>
    <w:p>
      <w:pPr>
        <w:ind w:firstLine="560"/>
        <w:jc w:val="left"/>
        <w:spacing w:line="480" w:lineRule="exact"/>
        <w:rPr>
          <w:rFonts w:ascii="宋体" w:hAnsi="宋体" w:cs="仿宋_GB2312"/>
          <w:sz w:val="24"/>
          <w:szCs w:val="24"/>
        </w:rPr>
      </w:pPr>
      <w:r>
        <w:rPr>
          <w:rFonts w:hint="eastAsia" w:ascii="宋体" w:hAnsi="宋体" w:cs="仿宋_GB2312"/>
          <w:sz w:val="24"/>
          <w:szCs w:val="24"/>
        </w:rPr>
        <w:t xml:space="preserve">（1）本项目对残疾人福利性单位视同小型、微型企业，给予</w:t>
      </w:r>
      <w:r>
        <w:rPr>
          <w:rFonts w:hint="eastAsia" w:ascii="宋体" w:hAnsi="宋体" w:cs="仿宋_GB2312"/>
          <w:sz w:val="24"/>
          <w:szCs w:val="24"/>
          <w:u w:val="single"/>
        </w:rPr>
        <w:t xml:space="preserve">10%</w:t>
      </w:r>
      <w:r>
        <w:rPr>
          <w:rFonts w:hint="eastAsia" w:ascii="宋体" w:hAnsi="宋体" w:cs="仿宋_GB2312"/>
          <w:sz w:val="24"/>
          <w:szCs w:val="24"/>
        </w:rPr>
        <w:t xml:space="preserve">的价格扣除，用扣除后的价格参与评审。</w:t>
      </w:r>
      <w:r/>
    </w:p>
    <w:p>
      <w:pPr>
        <w:ind w:firstLine="560"/>
        <w:jc w:val="left"/>
        <w:spacing w:line="480" w:lineRule="exact"/>
        <w:rPr>
          <w:rFonts w:ascii="宋体" w:hAnsi="宋体" w:cs="仿宋_GB2312"/>
          <w:sz w:val="24"/>
          <w:szCs w:val="24"/>
        </w:rPr>
      </w:pPr>
      <w:r>
        <w:rPr>
          <w:rFonts w:hint="eastAsia" w:ascii="宋体" w:hAnsi="宋体" w:cs="仿宋_GB2312"/>
          <w:sz w:val="24"/>
          <w:szCs w:val="24"/>
        </w:rPr>
        <w:t xml:space="preserve">（2）残疾人福利单位需按照采购文件的要求提供《残疾人福利性单位声明函》。</w:t>
      </w:r>
      <w:r/>
    </w:p>
    <w:p>
      <w:pPr>
        <w:ind w:firstLine="560"/>
        <w:jc w:val="left"/>
        <w:spacing w:line="480" w:lineRule="exact"/>
        <w:rPr>
          <w:rFonts w:ascii="宋体" w:hAnsi="宋体" w:cs="仿宋_GB2312"/>
          <w:sz w:val="24"/>
          <w:szCs w:val="24"/>
        </w:rPr>
      </w:pPr>
      <w:r>
        <w:rPr>
          <w:rFonts w:hint="eastAsia" w:ascii="宋体" w:hAnsi="宋体" w:cs="仿宋_GB2312"/>
          <w:sz w:val="24"/>
          <w:szCs w:val="24"/>
        </w:rPr>
        <w:t xml:space="preserve">（3）残疾人福利单位标准请参照《关于促进残疾人就业政府采购政策的通知》（财库〔2017〕141号）。</w:t>
      </w:r>
      <w:r/>
    </w:p>
    <w:p>
      <w:pPr>
        <w:ind w:firstLine="562"/>
        <w:jc w:val="left"/>
        <w:spacing w:line="480" w:lineRule="exact"/>
        <w:rPr>
          <w:rFonts w:ascii="宋体" w:hAnsi="宋体" w:cs="仿宋_GB2312"/>
          <w:b/>
          <w:bCs/>
          <w:sz w:val="24"/>
          <w:szCs w:val="24"/>
        </w:rPr>
      </w:pPr>
      <w:r>
        <w:rPr>
          <w:rFonts w:hint="eastAsia" w:ascii="宋体" w:hAnsi="宋体" w:cs="仿宋_GB2312"/>
          <w:b/>
          <w:bCs/>
          <w:sz w:val="24"/>
          <w:szCs w:val="24"/>
        </w:rPr>
        <w:t xml:space="preserve">3、监狱和戒毒企业价格扣除</w:t>
      </w:r>
      <w:r/>
    </w:p>
    <w:p>
      <w:pPr>
        <w:ind w:firstLine="560"/>
        <w:jc w:val="left"/>
        <w:spacing w:line="480" w:lineRule="exact"/>
        <w:rPr>
          <w:rFonts w:ascii="宋体" w:hAnsi="宋体" w:cs="仿宋_GB2312"/>
          <w:sz w:val="24"/>
          <w:szCs w:val="24"/>
        </w:rPr>
      </w:pPr>
      <w:r>
        <w:rPr>
          <w:rFonts w:hint="eastAsia" w:ascii="宋体" w:hAnsi="宋体" w:cs="仿宋_GB2312"/>
          <w:sz w:val="24"/>
          <w:szCs w:val="24"/>
        </w:rPr>
        <w:t xml:space="preserve">（1）本项目对监狱和戒毒企业（简称监狱企业）视同小型、微型企业，给予</w:t>
      </w:r>
      <w:r>
        <w:rPr>
          <w:rFonts w:hint="eastAsia" w:ascii="宋体" w:hAnsi="宋体" w:cs="仿宋_GB2312"/>
          <w:sz w:val="24"/>
          <w:szCs w:val="24"/>
          <w:u w:val="single"/>
        </w:rPr>
        <w:t xml:space="preserve">10%</w:t>
      </w:r>
      <w:r>
        <w:rPr>
          <w:rFonts w:hint="eastAsia" w:ascii="宋体" w:hAnsi="宋体" w:cs="仿宋_GB2312"/>
          <w:sz w:val="24"/>
          <w:szCs w:val="24"/>
        </w:rPr>
        <w:t xml:space="preserve">的价格扣除，用扣除后的价格参与评审。</w:t>
      </w:r>
      <w:r/>
    </w:p>
    <w:p>
      <w:pPr>
        <w:ind w:firstLine="560"/>
        <w:jc w:val="left"/>
        <w:spacing w:line="480" w:lineRule="exact"/>
        <w:rPr>
          <w:rFonts w:ascii="宋体" w:hAnsi="宋体" w:cs="仿宋_GB2312"/>
          <w:sz w:val="24"/>
          <w:szCs w:val="24"/>
        </w:rPr>
      </w:pPr>
      <w:r>
        <w:rPr>
          <w:rFonts w:hint="eastAsia" w:ascii="宋体" w:hAnsi="宋体" w:cs="仿宋_GB2312"/>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line="480" w:lineRule="exact"/>
        <w:rPr>
          <w:rFonts w:ascii="宋体" w:hAnsi="宋体" w:cs="仿宋_GB2312"/>
          <w:sz w:val="24"/>
          <w:szCs w:val="24"/>
        </w:rPr>
      </w:pPr>
      <w:r>
        <w:rPr>
          <w:rFonts w:hint="eastAsia" w:ascii="宋体" w:hAnsi="宋体" w:cs="仿宋_GB2312"/>
          <w:sz w:val="24"/>
          <w:szCs w:val="24"/>
        </w:rPr>
        <w:t xml:space="preserve">（3）监狱企业标准请参照《关于政府采购支持监狱企业发展有关问题的通知》（财库[2014]68号）。</w:t>
      </w:r>
      <w:r/>
    </w:p>
    <w:p>
      <w:pPr>
        <w:ind w:firstLine="560"/>
        <w:jc w:val="left"/>
        <w:spacing w:line="480" w:lineRule="exact"/>
        <w:rPr>
          <w:rFonts w:ascii="宋体" w:hAnsi="宋体" w:cs="仿宋_GB2312"/>
          <w:sz w:val="24"/>
          <w:szCs w:val="24"/>
        </w:rPr>
      </w:pPr>
      <w:r>
        <w:rPr>
          <w:rFonts w:hint="eastAsia" w:ascii="宋体" w:hAnsi="宋体" w:cs="仿宋_GB2312"/>
          <w:sz w:val="24"/>
          <w:szCs w:val="24"/>
        </w:rPr>
        <w:t xml:space="preserve">4、残疾人福利单位、监狱企业属于小型、微型企业的，不重复享受政策。</w:t>
      </w:r>
      <w:r/>
    </w:p>
    <w:p>
      <w:pPr>
        <w:ind w:firstLine="560"/>
        <w:jc w:val="left"/>
        <w:spacing w:line="480" w:lineRule="exact"/>
        <w:rPr>
          <w:rFonts w:ascii="宋体" w:hAnsi="宋体" w:cs="仿宋_GB2312"/>
          <w:sz w:val="24"/>
          <w:szCs w:val="24"/>
        </w:rPr>
      </w:pPr>
      <w:r>
        <w:rPr>
          <w:rFonts w:hint="eastAsia" w:ascii="宋体" w:hAnsi="宋体" w:cs="仿宋_GB2312"/>
          <w:sz w:val="24"/>
          <w:szCs w:val="24"/>
        </w:rPr>
        <w:t xml:space="preserve">5、本项目不同意联合体参加投标。</w:t>
      </w:r>
      <w:r/>
    </w:p>
    <w:p>
      <w:pPr>
        <w:ind w:firstLine="482"/>
        <w:jc w:val="left"/>
        <w:spacing w:before="120" w:after="120" w:line="0" w:lineRule="atLeast"/>
        <w:rPr>
          <w:rFonts w:ascii="宋体" w:hAnsi="宋体"/>
          <w:b/>
          <w:sz w:val="24"/>
          <w:szCs w:val="24"/>
          <w:highlight w:val="yellow"/>
        </w:rPr>
      </w:pPr>
      <w:r>
        <w:rPr>
          <w:rFonts w:hint="eastAsia" w:ascii="宋体" w:hAnsi="宋体"/>
          <w:b/>
          <w:sz w:val="24"/>
          <w:szCs w:val="24"/>
        </w:rPr>
        <w:t xml:space="preserve">评标方法与评标标准</w:t>
      </w:r>
      <w:r/>
    </w:p>
    <w:p>
      <w:pPr>
        <w:ind w:firstLine="560"/>
        <w:jc w:val="left"/>
        <w:spacing w:line="520" w:lineRule="exact"/>
        <w:rPr>
          <w:rFonts w:cs="Arial"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、本项目采用</w:t>
      </w:r>
      <w:r>
        <w:rPr>
          <w:rFonts w:hint="eastAsia" w:asciiTheme="minorEastAsia" w:hAnsiTheme="minorEastAsia" w:eastAsiaTheme="minorEastAsia"/>
          <w:b/>
          <w:bCs/>
          <w:sz w:val="24"/>
          <w:szCs w:val="24"/>
          <w:u w:val="single"/>
        </w:rPr>
        <w:t xml:space="preserve">综合评分法</w:t>
      </w:r>
      <w:r>
        <w:rPr>
          <w:rFonts w:hint="eastAsia" w:asciiTheme="minorEastAsia" w:hAnsiTheme="minorEastAsia" w:eastAsiaTheme="minorEastAsia"/>
          <w:sz w:val="24"/>
          <w:szCs w:val="24"/>
        </w:rPr>
        <w:t xml:space="preserve">，</w:t>
      </w:r>
      <w:r>
        <w:rPr>
          <w:rFonts w:hint="eastAsia" w:asciiTheme="minorEastAsia" w:hAnsiTheme="minorEastAsia" w:eastAsiaTheme="minorEastAsia"/>
          <w:bCs/>
          <w:sz w:val="24"/>
          <w:szCs w:val="24"/>
        </w:rPr>
        <w:t xml:space="preserve">由评标委员会根据评分办法规定的各项因素综合评定打分</w:t>
      </w:r>
      <w:r>
        <w:rPr>
          <w:rFonts w:hint="eastAsia" w:asciiTheme="minorEastAsia" w:hAnsiTheme="minorEastAsia" w:eastAsiaTheme="minorEastAsia"/>
          <w:b/>
          <w:sz w:val="24"/>
          <w:szCs w:val="24"/>
        </w:rPr>
        <w:t xml:space="preserve">。</w:t>
      </w:r>
      <w:r>
        <w:rPr>
          <w:rFonts w:hint="eastAsia" w:cs="Arial" w:asciiTheme="minorEastAsia" w:hAnsiTheme="minorEastAsia" w:eastAsiaTheme="minorEastAsia"/>
          <w:sz w:val="24"/>
          <w:szCs w:val="24"/>
          <w:highlight w:val="yellow"/>
        </w:rPr>
        <w:t xml:space="preserve">本项目选取</w:t>
      </w:r>
      <w:r>
        <w:rPr>
          <w:rFonts w:cs="Arial" w:asciiTheme="minorEastAsia" w:hAnsiTheme="minorEastAsia" w:eastAsiaTheme="minorEastAsia"/>
          <w:sz w:val="24"/>
          <w:szCs w:val="24"/>
          <w:highlight w:val="yellow"/>
        </w:rPr>
        <w:t xml:space="preserve">3</w:t>
      </w:r>
      <w:r>
        <w:rPr>
          <w:rFonts w:hint="eastAsia" w:cs="Arial" w:asciiTheme="minorEastAsia" w:hAnsiTheme="minorEastAsia" w:eastAsiaTheme="minorEastAsia"/>
          <w:sz w:val="24"/>
          <w:szCs w:val="24"/>
          <w:highlight w:val="yellow"/>
        </w:rPr>
        <w:t xml:space="preserve">名中标候选人。</w:t>
      </w:r>
      <w:r/>
    </w:p>
    <w:p>
      <w:pPr>
        <w:ind w:firstLine="560"/>
        <w:jc w:val="left"/>
        <w:spacing w:line="520" w:lineRule="exact"/>
        <w:rPr>
          <w:rFonts w:asciiTheme="minorEastAsia" w:hAnsiTheme="minorEastAsia" w:eastAsiaTheme="minorEastAsia"/>
          <w:bCs/>
          <w:sz w:val="24"/>
          <w:szCs w:val="24"/>
        </w:rPr>
      </w:pPr>
      <w:r>
        <w:rPr>
          <w:rFonts w:asciiTheme="minorEastAsia" w:hAnsiTheme="minorEastAsia" w:eastAsiaTheme="minorEastAsia"/>
          <w:bCs/>
          <w:sz w:val="24"/>
          <w:szCs w:val="24"/>
        </w:rPr>
        <w:t xml:space="preserve">2</w:t>
      </w:r>
      <w:r>
        <w:rPr>
          <w:rFonts w:hint="eastAsia" w:asciiTheme="minorEastAsia" w:hAnsiTheme="minorEastAsia" w:eastAsiaTheme="minorEastAsia"/>
          <w:bCs/>
          <w:sz w:val="24"/>
          <w:szCs w:val="24"/>
        </w:rPr>
        <w:t xml:space="preserve">、</w:t>
      </w:r>
      <w:r>
        <w:rPr>
          <w:rFonts w:hint="eastAsia" w:asciiTheme="minorEastAsia" w:hAnsiTheme="minorEastAsia" w:eastAsiaTheme="minorEastAsia"/>
          <w:sz w:val="24"/>
          <w:szCs w:val="24"/>
        </w:rPr>
        <w:t xml:space="preserve">采购人确定最终得分最高且排名第一的供应商为</w:t>
      </w:r>
      <w:r>
        <w:rPr>
          <w:rFonts w:hint="eastAsia" w:asciiTheme="minorEastAsia" w:hAnsiTheme="minorEastAsia" w:eastAsiaTheme="minorEastAsia"/>
          <w:sz w:val="24"/>
          <w:szCs w:val="24"/>
        </w:rPr>
        <w:t xml:space="preserve">预成交</w:t>
      </w:r>
      <w:r>
        <w:rPr>
          <w:rFonts w:hint="eastAsia" w:asciiTheme="minorEastAsia" w:hAnsiTheme="minorEastAsia" w:eastAsiaTheme="minorEastAsia"/>
          <w:sz w:val="24"/>
          <w:szCs w:val="24"/>
        </w:rPr>
        <w:t xml:space="preserve">供应商。</w:t>
      </w:r>
      <w:r/>
    </w:p>
    <w:p>
      <w:pPr>
        <w:ind w:firstLine="561"/>
        <w:spacing w:line="520" w:lineRule="exact"/>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评审时</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评标委员会各成员应当独立对每个有效供应商的响应文件进行评价打分，然后汇总每个供应商每项评分因素的得分。若得分相同，按投标报价由低到高顺序排列；得分且投标报价相同，按技术指标优劣顺序排列。</w:t>
      </w:r>
      <w:bookmarkStart w:id="150" w:name="_Hlk142559637"/>
      <w:r/>
      <w:bookmarkStart w:id="151" w:name="_Hlk126224113"/>
      <w:r/>
      <w:r/>
    </w:p>
    <w:p>
      <w:pPr>
        <w:pStyle w:val="988"/>
        <w:ind w:right="25" w:firstLine="480"/>
        <w:spacing w:line="5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（附评分办法）</w:t>
      </w:r>
      <w:bookmarkEnd w:id="150"/>
      <w:r/>
      <w:bookmarkEnd w:id="151"/>
      <w:r/>
      <w:r/>
    </w:p>
    <w:p>
      <w:pPr>
        <w:rPr>
          <w:rFonts w:ascii="宋体" w:hAnsi="宋体" w:cs="宋体"/>
          <w:sz w:val="24"/>
          <w:szCs w:val="24"/>
        </w:rPr>
      </w:pPr>
      <w:r>
        <w:rPr>
          <w:rFonts w:ascii="宋体" w:hAnsi="宋体" w:cs="宋体"/>
          <w:sz w:val="24"/>
          <w:szCs w:val="24"/>
        </w:rPr>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5"/>
        <w:gridCol w:w="7994"/>
      </w:tblGrid>
      <w:tr>
        <w:trPr>
          <w:jc w:val="center"/>
          <w:trHeight w:val="20"/>
        </w:trPr>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left"/>
              <w:widowControl/>
              <w:rPr>
                <w:rStyle w:val="1249"/>
                <w:rFonts w:hint="default"/>
                <w:sz w:val="24"/>
                <w:szCs w:val="24"/>
                <w:lang w:bidi="ar"/>
              </w:rPr>
            </w:pPr>
            <w:r>
              <w:rPr>
                <w:rStyle w:val="1249"/>
                <w:rFonts w:hint="default"/>
                <w:sz w:val="24"/>
                <w:szCs w:val="24"/>
                <w:lang w:bidi="ar"/>
              </w:rPr>
              <w:t xml:space="preserve">项  目</w:t>
            </w:r>
            <w:r/>
          </w:p>
        </w:tc>
        <w:tc>
          <w:tcPr>
            <w:tcBorders>
              <w:top w:val="single" w:color="auto" w:sz="4" w:space="0"/>
              <w:left w:val="single" w:color="auto" w:sz="4" w:space="0"/>
              <w:bottom w:val="single" w:color="auto" w:sz="4" w:space="0"/>
              <w:right w:val="single" w:color="auto" w:sz="4" w:space="0"/>
            </w:tcBorders>
            <w:tcW w:w="7994" w:type="dxa"/>
            <w:vAlign w:val="center"/>
            <w:textDirection w:val="lrTb"/>
            <w:noWrap w:val="false"/>
          </w:tcPr>
          <w:p>
            <w:pPr>
              <w:jc w:val="left"/>
              <w:widowControl/>
              <w:rPr>
                <w:rStyle w:val="1249"/>
                <w:rFonts w:hint="default"/>
                <w:sz w:val="24"/>
                <w:szCs w:val="24"/>
                <w:lang w:bidi="ar"/>
              </w:rPr>
            </w:pPr>
            <w:r>
              <w:rPr>
                <w:rStyle w:val="1249"/>
                <w:rFonts w:hint="default"/>
                <w:sz w:val="24"/>
                <w:szCs w:val="24"/>
                <w:lang w:bidi="ar"/>
              </w:rPr>
              <w:t xml:space="preserve">评  分  标  准</w:t>
            </w:r>
            <w:r/>
          </w:p>
        </w:tc>
      </w:tr>
      <w:tr>
        <w:trPr>
          <w:jc w:val="center"/>
          <w:trHeight w:val="20"/>
        </w:trPr>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left"/>
              <w:widowControl/>
              <w:rPr>
                <w:rStyle w:val="1249"/>
                <w:rFonts w:hint="default"/>
                <w:sz w:val="24"/>
                <w:szCs w:val="24"/>
                <w:lang w:bidi="ar"/>
              </w:rPr>
            </w:pPr>
            <w:r>
              <w:rPr>
                <w:rStyle w:val="1249"/>
                <w:rFonts w:hint="default"/>
                <w:sz w:val="24"/>
                <w:szCs w:val="24"/>
                <w:lang w:bidi="ar"/>
              </w:rPr>
              <w:t xml:space="preserve">F1报价（30分）</w:t>
            </w:r>
            <w:r/>
          </w:p>
        </w:tc>
        <w:tc>
          <w:tcPr>
            <w:tcBorders>
              <w:top w:val="single" w:color="auto" w:sz="4" w:space="0"/>
              <w:left w:val="single" w:color="auto" w:sz="4" w:space="0"/>
              <w:bottom w:val="single" w:color="auto" w:sz="4" w:space="0"/>
              <w:right w:val="single" w:color="auto" w:sz="4" w:space="0"/>
            </w:tcBorders>
            <w:tcW w:w="7994" w:type="dxa"/>
            <w:vAlign w:val="center"/>
            <w:textDirection w:val="lrTb"/>
            <w:noWrap w:val="false"/>
          </w:tcPr>
          <w:p>
            <w:pPr>
              <w:ind w:firstLine="561"/>
              <w:jc w:val="left"/>
              <w:widowControl/>
              <w:rPr>
                <w:rStyle w:val="1249"/>
                <w:rFonts w:hint="default"/>
                <w:sz w:val="24"/>
                <w:szCs w:val="24"/>
                <w:lang w:bidi="ar"/>
              </w:rPr>
            </w:pPr>
            <w:r>
              <w:rPr>
                <w:rFonts w:hint="eastAsia" w:cs="仿宋" w:asciiTheme="minorEastAsia" w:hAnsiTheme="minorEastAsia" w:eastAsiaTheme="minorEastAsia"/>
                <w:sz w:val="24"/>
                <w:szCs w:val="24"/>
              </w:rPr>
              <w:t xml:space="preserve">满足招标文件要求且投标价格最低的投标报价为评标基准价，其价格分为满分30分。其他供应商的价格分按下列公式计算：投标报价得分=（评标基准价/投标报价）×30%×100。</w:t>
            </w:r>
            <w:r/>
          </w:p>
        </w:tc>
      </w:tr>
      <w:tr>
        <w:trPr>
          <w:jc w:val="center"/>
          <w:trHeight w:val="20"/>
        </w:trPr>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left"/>
              <w:widowControl/>
              <w:rPr>
                <w:rStyle w:val="1249"/>
                <w:rFonts w:hint="default"/>
                <w:sz w:val="24"/>
                <w:szCs w:val="24"/>
                <w:lang w:bidi="ar"/>
              </w:rPr>
            </w:pPr>
            <w:r>
              <w:rPr>
                <w:rStyle w:val="1249"/>
                <w:rFonts w:hint="default"/>
                <w:sz w:val="24"/>
                <w:szCs w:val="24"/>
                <w:lang w:bidi="ar"/>
              </w:rPr>
              <w:t xml:space="preserve">F2技术指标符合程度（30分）</w:t>
            </w:r>
            <w:r/>
          </w:p>
        </w:tc>
        <w:tc>
          <w:tcPr>
            <w:tcBorders>
              <w:top w:val="single" w:color="auto" w:sz="4" w:space="0"/>
              <w:left w:val="single" w:color="auto" w:sz="4" w:space="0"/>
              <w:bottom w:val="single" w:color="auto" w:sz="4" w:space="0"/>
              <w:right w:val="single" w:color="auto" w:sz="4" w:space="0"/>
            </w:tcBorders>
            <w:tcW w:w="7994" w:type="dxa"/>
            <w:textDirection w:val="lrTb"/>
            <w:noWrap w:val="false"/>
          </w:tcPr>
          <w:p>
            <w:pPr>
              <w:jc w:val="left"/>
              <w:widowControl/>
              <w:rPr>
                <w:rStyle w:val="1249"/>
                <w:rFonts w:hint="default"/>
                <w:sz w:val="24"/>
                <w:szCs w:val="24"/>
                <w:lang w:bidi="ar"/>
              </w:rPr>
            </w:pPr>
            <w:r>
              <w:rPr>
                <w:rStyle w:val="1249"/>
                <w:rFonts w:hint="default"/>
                <w:sz w:val="24"/>
                <w:szCs w:val="24"/>
                <w:lang w:bidi="ar"/>
              </w:rPr>
              <w:t xml:space="preserve">投标人所投产</w:t>
            </w:r>
            <w:r>
              <w:rPr>
                <w:rStyle w:val="1249"/>
                <w:rFonts w:hint="default"/>
                <w:sz w:val="24"/>
                <w:szCs w:val="24"/>
                <w:lang w:bidi="ar"/>
              </w:rPr>
              <w:t xml:space="preserve">品完全</w:t>
            </w:r>
            <w:r>
              <w:rPr>
                <w:rStyle w:val="1249"/>
                <w:rFonts w:hint="default"/>
                <w:sz w:val="24"/>
                <w:szCs w:val="24"/>
                <w:lang w:bidi="ar"/>
              </w:rPr>
              <w:t xml:space="preserve">满足招标文件的相关要求，得30分；</w:t>
            </w:r>
            <w:r/>
          </w:p>
          <w:p>
            <w:pPr>
              <w:jc w:val="left"/>
              <w:widowControl/>
              <w:rPr>
                <w:rStyle w:val="1249"/>
                <w:rFonts w:hint="default"/>
                <w:sz w:val="24"/>
                <w:szCs w:val="24"/>
                <w:lang w:bidi="ar"/>
              </w:rPr>
            </w:pPr>
            <w:r>
              <w:rPr>
                <w:rStyle w:val="1249"/>
                <w:rFonts w:hint="default"/>
                <w:sz w:val="24"/>
                <w:szCs w:val="24"/>
                <w:lang w:bidi="ar"/>
              </w:rPr>
              <w:t xml:space="preserve">带“▲”项为重要技术指标，如有要求投标人提供证明材料的必需清晰、准确，如提供材料与要求不符均视为负偏离，不满足打▲指标的，每项扣2分；不满足非打▲指标的，每项扣1分，扣完为止；</w:t>
            </w:r>
            <w:r/>
          </w:p>
          <w:p>
            <w:pPr>
              <w:jc w:val="left"/>
              <w:widowControl/>
              <w:rPr>
                <w:rStyle w:val="1249"/>
                <w:rFonts w:hint="default"/>
                <w:sz w:val="24"/>
                <w:szCs w:val="24"/>
                <w:lang w:bidi="ar"/>
              </w:rPr>
            </w:pPr>
            <w:r>
              <w:rPr>
                <w:rStyle w:val="1249"/>
                <w:rFonts w:hint="default"/>
                <w:sz w:val="24"/>
                <w:szCs w:val="24"/>
                <w:lang w:bidi="ar"/>
              </w:rPr>
              <w:t xml:space="preserve">注：（供应商需如实填写所投产品参数，并按要求提供相应的证明材料，供应商所提供证明材料与投标产品、采购需求技术内容不符，视为不满足并作相应扣分处理）。本次中标后甲方有权要求在5个工作日内提供所投产品的测试设备，对上述参数功能进行逐一测试核对，不能实质性响应招标文件要求的，</w:t>
            </w:r>
            <w:r>
              <w:rPr>
                <w:rStyle w:val="1249"/>
                <w:rFonts w:hint="default"/>
                <w:sz w:val="24"/>
                <w:szCs w:val="24"/>
                <w:lang w:bidi="ar"/>
              </w:rPr>
              <w:t xml:space="preserve">则上报相应监管部门进行处理。</w:t>
            </w:r>
            <w:r/>
          </w:p>
        </w:tc>
      </w:tr>
      <w:tr>
        <w:trPr>
          <w:jc w:val="center"/>
          <w:trHeight w:val="20"/>
        </w:trPr>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left"/>
              <w:widowControl/>
              <w:rPr>
                <w:rStyle w:val="1249"/>
                <w:rFonts w:hint="default"/>
                <w:sz w:val="24"/>
                <w:szCs w:val="24"/>
                <w:lang w:bidi="ar"/>
              </w:rPr>
            </w:pPr>
            <w:r>
              <w:rPr>
                <w:rStyle w:val="1249"/>
                <w:rFonts w:hint="default"/>
                <w:sz w:val="24"/>
                <w:szCs w:val="24"/>
                <w:lang w:bidi="ar"/>
              </w:rPr>
              <w:t xml:space="preserve">F3综合实力27分）</w:t>
            </w:r>
            <w:r/>
          </w:p>
        </w:tc>
        <w:tc>
          <w:tcPr>
            <w:tcBorders>
              <w:top w:val="single" w:color="auto" w:sz="4" w:space="0"/>
              <w:left w:val="single" w:color="auto" w:sz="4" w:space="0"/>
              <w:bottom w:val="single" w:color="auto" w:sz="4" w:space="0"/>
              <w:right w:val="single" w:color="auto" w:sz="4" w:space="0"/>
            </w:tcBorders>
            <w:tcW w:w="7994" w:type="dxa"/>
            <w:vAlign w:val="center"/>
            <w:textDirection w:val="lrTb"/>
            <w:noWrap w:val="false"/>
          </w:tcPr>
          <w:p>
            <w:pPr>
              <w:ind w:firstLine="480"/>
              <w:jc w:val="lef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cs="仿宋_GB2312" w:asciiTheme="minorEastAsia" w:hAnsiTheme="minorEastAsia" w:eastAsiaTheme="minorEastAsia"/>
                <w:color w:val="000000"/>
                <w:sz w:val="24"/>
                <w:szCs w:val="24"/>
              </w:rPr>
              <w:t xml:space="preserve">供应商具有有效的质量管理体系认证证书、环境管理体系认证证书、职业健康安全管理体系认证证书，每提供1个证书得1分，最高得3分。（需提供证书原件扫描件及国家认监委平台查询截图，未提供或</w:t>
            </w:r>
            <w:r>
              <w:rPr>
                <w:rFonts w:cs="仿宋_GB2312" w:asciiTheme="minorEastAsia" w:hAnsiTheme="minorEastAsia" w:eastAsiaTheme="minorEastAsia"/>
                <w:color w:val="000000"/>
                <w:sz w:val="24"/>
                <w:szCs w:val="24"/>
              </w:rPr>
              <w:t xml:space="preserve">提供不全</w:t>
            </w:r>
            <w:r>
              <w:rPr>
                <w:rFonts w:hint="eastAsia" w:cs="仿宋_GB2312" w:asciiTheme="minorEastAsia" w:hAnsiTheme="minorEastAsia" w:eastAsiaTheme="minorEastAsia"/>
                <w:color w:val="000000"/>
                <w:sz w:val="24"/>
                <w:szCs w:val="24"/>
              </w:rPr>
              <w:t xml:space="preserve">均不得分）</w:t>
            </w:r>
            <w:r>
              <w:rPr>
                <w:rFonts w:hint="eastAsia" w:asciiTheme="minorEastAsia" w:hAnsiTheme="minorEastAsia" w:eastAsiaTheme="minorEastAsia" w:cstheme="minorEastAsia"/>
                <w:sz w:val="24"/>
                <w:szCs w:val="24"/>
              </w:rPr>
              <w:t xml:space="preserve">；</w:t>
            </w:r>
            <w:r/>
          </w:p>
          <w:p>
            <w:pPr>
              <w:ind w:firstLine="480"/>
              <w:jc w:val="lef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项目负责人（12分）：拟投入本项目的项目负责人（同一人）本人具有：一级建造师（机电工程）、高级信息系统项目管理师、高级数据库管理工程师、高级软件开发工程师、高级信息技术应用创新服务工程师（ITSS）、高级电子信息工程师的，每有一个得2分，最多得12分。（提供相关证书的原件扫描件加盖公章及提供人员近六个月任意一个月由供应商为其缴纳的</w:t>
            </w:r>
            <w:r>
              <w:rPr>
                <w:rFonts w:hint="eastAsia" w:asciiTheme="minorEastAsia" w:hAnsiTheme="minorEastAsia" w:eastAsiaTheme="minorEastAsia" w:cstheme="minorEastAsia"/>
                <w:sz w:val="24"/>
                <w:szCs w:val="24"/>
              </w:rPr>
              <w:t xml:space="preserve">社保证明</w:t>
            </w:r>
            <w:r>
              <w:rPr>
                <w:rFonts w:hint="eastAsia" w:asciiTheme="minorEastAsia" w:hAnsiTheme="minorEastAsia" w:eastAsiaTheme="minorEastAsia" w:cstheme="minorEastAsia"/>
                <w:sz w:val="24"/>
                <w:szCs w:val="24"/>
              </w:rPr>
              <w:t xml:space="preserve">扫描件加盖公章，否则不得分）；</w:t>
            </w:r>
            <w:r/>
          </w:p>
          <w:p>
            <w:pPr>
              <w:ind w:firstLine="480"/>
              <w:jc w:val="left"/>
              <w:widowControl/>
              <w:rPr>
                <w:rStyle w:val="1249"/>
                <w:rFonts w:hint="default" w:eastAsiaTheme="minorEastAsia"/>
                <w:b/>
                <w:bCs/>
                <w:sz w:val="24"/>
                <w:szCs w:val="24"/>
                <w:lang w:bidi="ar"/>
              </w:rPr>
            </w:pPr>
            <w:r>
              <w:rPr>
                <w:rFonts w:hint="eastAsia" w:asciiTheme="minorEastAsia" w:hAnsiTheme="minorEastAsia" w:eastAsiaTheme="minorEastAsia" w:cstheme="minorEastAsia"/>
                <w:sz w:val="24"/>
                <w:szCs w:val="24"/>
              </w:rPr>
              <w:t xml:space="preserve">3、技术负责人（12分）：拟投入本项目的技术负责人（同一人）本人具有：CISAW信息安全保障人员专业</w:t>
            </w:r>
            <w:r>
              <w:rPr>
                <w:rFonts w:hint="eastAsia" w:asciiTheme="minorEastAsia" w:hAnsiTheme="minorEastAsia" w:eastAsiaTheme="minorEastAsia" w:cstheme="minorEastAsia"/>
                <w:sz w:val="24"/>
                <w:szCs w:val="24"/>
              </w:rPr>
              <w:t xml:space="preserve">级风险</w:t>
            </w:r>
            <w:r>
              <w:rPr>
                <w:rFonts w:hint="eastAsia" w:asciiTheme="minorEastAsia" w:hAnsiTheme="minorEastAsia" w:eastAsiaTheme="minorEastAsia" w:cstheme="minorEastAsia"/>
                <w:sz w:val="24"/>
                <w:szCs w:val="24"/>
              </w:rPr>
              <w:t xml:space="preserve">管理认证证书、注册信息安全专业人员（CISP）-注册信息安全工程师（CISE）证书、中级信息系统应用创新专业系统工程师证书、项目管理专业人员资格认证证书（PMP）、网络与信息安全管理员、网络工程师、CCIA数据安全职业能力证书-数据安全评估师、高级电子信息工程师的，每有1个得2分，最多得12分。（提供相关证书的原件扫描件加盖公章及提供人员近六个月任意一个月由供应商为其缴纳的</w:t>
            </w:r>
            <w:r>
              <w:rPr>
                <w:rFonts w:hint="eastAsia" w:asciiTheme="minorEastAsia" w:hAnsiTheme="minorEastAsia" w:eastAsiaTheme="minorEastAsia" w:cstheme="minorEastAsia"/>
                <w:sz w:val="24"/>
                <w:szCs w:val="24"/>
              </w:rPr>
              <w:t xml:space="preserve">社保证明</w:t>
            </w:r>
            <w:r>
              <w:rPr>
                <w:rFonts w:hint="eastAsia" w:asciiTheme="minorEastAsia" w:hAnsiTheme="minorEastAsia" w:eastAsiaTheme="minorEastAsia" w:cstheme="minorEastAsia"/>
                <w:sz w:val="24"/>
                <w:szCs w:val="24"/>
              </w:rPr>
              <w:t xml:space="preserve">扫描件加盖公章，否则不得分）；</w:t>
            </w:r>
            <w:r/>
          </w:p>
        </w:tc>
      </w:tr>
      <w:tr>
        <w:trPr>
          <w:jc w:val="center"/>
          <w:trHeight w:val="20"/>
        </w:trPr>
        <w:tc>
          <w:tcPr>
            <w:tcBorders>
              <w:top w:val="single" w:color="auto" w:sz="4" w:space="0"/>
              <w:left w:val="single" w:color="auto" w:sz="4" w:space="0"/>
              <w:right w:val="single" w:color="auto" w:sz="4" w:space="0"/>
            </w:tcBorders>
            <w:tcW w:w="1215" w:type="dxa"/>
            <w:vAlign w:val="center"/>
            <w:textDirection w:val="lrTb"/>
            <w:noWrap w:val="false"/>
          </w:tcPr>
          <w:p>
            <w:pPr>
              <w:jc w:val="left"/>
              <w:widowControl/>
              <w:rPr>
                <w:rStyle w:val="1249"/>
                <w:rFonts w:hint="default"/>
                <w:sz w:val="24"/>
                <w:szCs w:val="24"/>
                <w:lang w:bidi="ar"/>
              </w:rPr>
            </w:pPr>
            <w:r>
              <w:rPr>
                <w:rStyle w:val="1249"/>
                <w:rFonts w:hint="default"/>
                <w:sz w:val="24"/>
                <w:szCs w:val="24"/>
                <w:lang w:bidi="ar"/>
              </w:rPr>
              <w:t xml:space="preserve">F4功能演示（</w:t>
            </w:r>
            <w:r>
              <w:rPr>
                <w:rStyle w:val="1249"/>
                <w:rFonts w:hint="default"/>
                <w:color w:val="ff0000"/>
                <w:sz w:val="24"/>
                <w:szCs w:val="24"/>
                <w:lang w:bidi="ar"/>
              </w:rPr>
              <w:t xml:space="preserve">12</w:t>
            </w:r>
            <w:r>
              <w:rPr>
                <w:rStyle w:val="1249"/>
                <w:rFonts w:hint="default"/>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7994" w:type="dxa"/>
            <w:textDirection w:val="lrTb"/>
            <w:noWrap w:val="false"/>
          </w:tcPr>
          <w:p>
            <w:pPr>
              <w:jc w:val="left"/>
              <w:widowControl/>
              <w:rPr>
                <w:rStyle w:val="1249"/>
                <w:rFonts w:hint="default"/>
                <w:sz w:val="24"/>
                <w:szCs w:val="24"/>
                <w:lang w:bidi="ar"/>
              </w:rPr>
            </w:pPr>
            <w:r>
              <w:rPr>
                <w:rStyle w:val="1249"/>
                <w:rFonts w:hint="default"/>
                <w:sz w:val="24"/>
                <w:szCs w:val="24"/>
                <w:lang w:bidi="ar"/>
              </w:rPr>
              <w:t xml:space="preserve">为确保产品成熟度和架构先进性，要求对以下产品的重要功能进行演示，通过上传录制视频[投标人需按照招标文件规定的演示内容制作演示视频文件，视频文件的格式为*.mp4或*.avi，投标人须将视频文件分段压缩为*.zip文件上传（单个文件不得大于50M，所有文件总共不得大于300M）。文件上</w:t>
            </w:r>
            <w:r>
              <w:rPr>
                <w:rStyle w:val="1249"/>
                <w:rFonts w:hint="default"/>
                <w:sz w:val="24"/>
                <w:szCs w:val="24"/>
                <w:lang w:bidi="ar"/>
              </w:rPr>
              <w:t xml:space="preserve">传方式见</w:t>
            </w:r>
            <w:r>
              <w:rPr>
                <w:rStyle w:val="1249"/>
                <w:rFonts w:hint="default"/>
                <w:sz w:val="24"/>
                <w:szCs w:val="24"/>
                <w:lang w:bidi="ar"/>
              </w:rPr>
              <w:t xml:space="preserve">《操作手册》规定，上传的演示视频将作为投标文件的组成部分，视频时长总计不超过15分钟）]，每条参数计2分，演示内容完全符合要求得满分；无法提供演示或不完全满足的不得分。</w:t>
            </w:r>
            <w:r/>
          </w:p>
          <w:p>
            <w:pPr>
              <w:numPr>
                <w:ilvl w:val="0"/>
                <w:numId w:val="7"/>
              </w:numPr>
              <w:jc w:val="left"/>
              <w:widowControl/>
              <w:rPr>
                <w:rStyle w:val="1249"/>
                <w:rFonts w:hint="default"/>
                <w:sz w:val="24"/>
                <w:szCs w:val="24"/>
                <w:lang w:bidi="ar"/>
              </w:rPr>
            </w:pPr>
            <w:r>
              <w:rPr>
                <w:rStyle w:val="1249"/>
                <w:rFonts w:hint="default"/>
                <w:sz w:val="24"/>
                <w:szCs w:val="24"/>
                <w:lang w:bidi="ar"/>
              </w:rPr>
              <w:t xml:space="preserve">为保障我局现有整体网络安全防护效果，所投防火墙系统应该具备垃圾邮件防护功能，支持防邮件炸弹，即设置POP3、SMTP的连接频率，支持贝叶斯检查，支持阻断垃圾邮件TCP链接，支持添加垃圾邮件标识和自定义标识（提供功能演示视频）。</w:t>
            </w:r>
            <w:r/>
          </w:p>
          <w:p>
            <w:pPr>
              <w:numPr>
                <w:ilvl w:val="0"/>
                <w:numId w:val="7"/>
              </w:numPr>
              <w:jc w:val="left"/>
              <w:widowControl/>
              <w:rPr>
                <w:rStyle w:val="1249"/>
                <w:rFonts w:hint="default"/>
                <w:sz w:val="24"/>
                <w:szCs w:val="24"/>
                <w:lang w:bidi="ar"/>
              </w:rPr>
            </w:pPr>
            <w:r>
              <w:rPr>
                <w:rStyle w:val="1249"/>
                <w:rFonts w:hint="default"/>
                <w:sz w:val="24"/>
                <w:szCs w:val="24"/>
                <w:lang w:bidi="ar"/>
              </w:rPr>
              <w:t xml:space="preserve">为保障我局现有整体网络安全防护效果，所投防火墙系统应该具备支持外发信息的控制，可实现对BBS发帖的限制和关键字过滤；可实现发送</w:t>
            </w:r>
            <w:r>
              <w:rPr>
                <w:rStyle w:val="1249"/>
                <w:rFonts w:hint="default"/>
                <w:sz w:val="24"/>
                <w:szCs w:val="24"/>
                <w:lang w:bidi="ar"/>
              </w:rPr>
              <w:t xml:space="preserve">微博信息</w:t>
            </w:r>
            <w:r>
              <w:rPr>
                <w:rStyle w:val="1249"/>
                <w:rFonts w:hint="default"/>
                <w:sz w:val="24"/>
                <w:szCs w:val="24"/>
                <w:lang w:bidi="ar"/>
              </w:rPr>
              <w:t xml:space="preserve">的限制和关键字过滤；可实现对WEB邮件的收发限制和关键字过滤（提供功能演示视频）</w:t>
            </w:r>
            <w:r/>
          </w:p>
          <w:p>
            <w:pPr>
              <w:numPr>
                <w:ilvl w:val="0"/>
                <w:numId w:val="7"/>
              </w:numPr>
              <w:jc w:val="left"/>
              <w:widowControl/>
              <w:rPr>
                <w:rStyle w:val="1249"/>
                <w:rFonts w:hint="default"/>
                <w:sz w:val="24"/>
                <w:szCs w:val="24"/>
                <w:lang w:bidi="ar"/>
              </w:rPr>
            </w:pPr>
            <w:r>
              <w:rPr>
                <w:rStyle w:val="1249"/>
                <w:rFonts w:hint="default"/>
                <w:sz w:val="24"/>
                <w:szCs w:val="24"/>
                <w:lang w:bidi="ar"/>
              </w:rPr>
              <w:t xml:space="preserve">为保障我局现有整体网络安全防护效果，入侵防御支持</w:t>
            </w:r>
            <w:r>
              <w:rPr>
                <w:rStyle w:val="1249"/>
                <w:rFonts w:hint="default"/>
                <w:sz w:val="24"/>
                <w:szCs w:val="24"/>
                <w:lang w:bidi="ar"/>
              </w:rPr>
              <w:t xml:space="preserve">联动沙</w:t>
            </w:r>
            <w:r>
              <w:rPr>
                <w:rStyle w:val="1249"/>
                <w:rFonts w:hint="default"/>
                <w:sz w:val="24"/>
                <w:szCs w:val="24"/>
                <w:lang w:bidi="ar"/>
              </w:rPr>
              <w:t xml:space="preserve">箱，全流量取证，以及通过REST API联动</w:t>
            </w:r>
            <w:r>
              <w:rPr>
                <w:rStyle w:val="1249"/>
                <w:rFonts w:hint="default"/>
                <w:sz w:val="24"/>
                <w:szCs w:val="24"/>
                <w:lang w:bidi="ar"/>
              </w:rPr>
              <w:t xml:space="preserve">其他第三</w:t>
            </w:r>
            <w:r>
              <w:rPr>
                <w:rStyle w:val="1249"/>
                <w:rFonts w:hint="default"/>
                <w:sz w:val="24"/>
                <w:szCs w:val="24"/>
                <w:lang w:bidi="ar"/>
              </w:rPr>
              <w:t xml:space="preserve">方安全产品，形成威胁检测，取证和防御阻断的整体防护效果</w:t>
            </w:r>
            <w:r>
              <w:rPr>
                <w:rStyle w:val="1249"/>
                <w:rFonts w:hint="default"/>
                <w:b/>
                <w:bCs/>
                <w:sz w:val="24"/>
                <w:szCs w:val="24"/>
                <w:lang w:bidi="ar"/>
              </w:rPr>
              <w:t xml:space="preserve">（提供功能演示视频）</w:t>
            </w:r>
            <w:r>
              <w:rPr>
                <w:rStyle w:val="1249"/>
                <w:rFonts w:hint="default"/>
                <w:sz w:val="24"/>
                <w:szCs w:val="24"/>
                <w:lang w:bidi="ar"/>
              </w:rPr>
              <w:t xml:space="preserve">。</w:t>
            </w:r>
            <w:r/>
          </w:p>
          <w:p>
            <w:pPr>
              <w:numPr>
                <w:ilvl w:val="0"/>
                <w:numId w:val="7"/>
              </w:numPr>
              <w:jc w:val="left"/>
              <w:widowControl/>
              <w:rPr>
                <w:rStyle w:val="1249"/>
                <w:rFonts w:hint="default"/>
                <w:b/>
                <w:bCs/>
                <w:sz w:val="24"/>
                <w:szCs w:val="24"/>
                <w:lang w:bidi="ar"/>
              </w:rPr>
            </w:pPr>
            <w:r>
              <w:rPr>
                <w:rStyle w:val="1249"/>
                <w:rFonts w:hint="default"/>
                <w:sz w:val="24"/>
                <w:szCs w:val="24"/>
                <w:lang w:bidi="ar"/>
              </w:rPr>
              <w:t xml:space="preserve">为保障我局日志审计系统对网内设备日志支持的全面性，日志审计支持内置CiscoPIX和交换机的事件编码知识库、内置Windows、Linux、Solaris、AIX操作系统的事件ID知识库、内置Oracle、SQLServer、MySQL、Informix、DB2数据库的事件错误号，能够查看系统内置的事件库中事件类型名称及其描述信息，内置等级保护知识库、内置病毒爆发、网络攻击、网络拥堵、网络扫描、设备故障、系统瘫痪、信息泄密等案例库</w:t>
            </w:r>
            <w:r>
              <w:rPr>
                <w:rStyle w:val="1249"/>
                <w:rFonts w:hint="default"/>
                <w:b/>
                <w:bCs/>
                <w:sz w:val="24"/>
                <w:szCs w:val="24"/>
                <w:lang w:bidi="ar"/>
              </w:rPr>
              <w:t xml:space="preserve">（提供功能演示视频）。</w:t>
            </w:r>
            <w:r/>
          </w:p>
          <w:p>
            <w:pPr>
              <w:numPr>
                <w:ilvl w:val="0"/>
                <w:numId w:val="7"/>
              </w:numPr>
              <w:jc w:val="left"/>
              <w:widowControl/>
              <w:rPr>
                <w:rStyle w:val="1249"/>
                <w:rFonts w:hint="default"/>
                <w:sz w:val="24"/>
                <w:szCs w:val="24"/>
                <w:lang w:bidi="ar"/>
              </w:rPr>
            </w:pPr>
            <w:r>
              <w:rPr>
                <w:rStyle w:val="1249"/>
                <w:rFonts w:hint="default"/>
                <w:sz w:val="24"/>
                <w:szCs w:val="24"/>
                <w:lang w:bidi="ar"/>
              </w:rPr>
              <w:t xml:space="preserve">为保障我局终端数据安全，EDR支持数据泄露防护能力，支持基于关键字、正则表达式、文件指纹等方式检测终端敏感文件，支持监测并阻止敏感文件的外发行为，包括文件拷贝、QQ、微信、打印刻录、邮件、HTTP、FTP通道等，防止敏感信息通过U盘、通讯软件等途径泄露敏感信息；支持屏幕水印的功能，包括文字、图片、点阵水印，防止通过录屏、截屏等方式进行数据窃取。</w:t>
            </w:r>
            <w:r>
              <w:rPr>
                <w:rStyle w:val="1249"/>
                <w:rFonts w:hint="default"/>
                <w:b/>
                <w:bCs/>
                <w:sz w:val="24"/>
                <w:szCs w:val="24"/>
                <w:lang w:bidi="ar"/>
              </w:rPr>
              <w:t xml:space="preserve">（提供功能演示视频）</w:t>
            </w:r>
            <w:r>
              <w:rPr>
                <w:rStyle w:val="1249"/>
                <w:rFonts w:hint="default"/>
                <w:sz w:val="24"/>
                <w:szCs w:val="24"/>
                <w:lang w:bidi="ar"/>
              </w:rPr>
              <w:t xml:space="preserve">。</w:t>
            </w:r>
            <w:r/>
          </w:p>
          <w:p>
            <w:pPr>
              <w:numPr>
                <w:ilvl w:val="0"/>
                <w:numId w:val="7"/>
              </w:numPr>
              <w:jc w:val="left"/>
              <w:widowControl/>
              <w:rPr>
                <w:rStyle w:val="1249"/>
                <w:rFonts w:hint="default"/>
                <w:sz w:val="24"/>
                <w:szCs w:val="24"/>
                <w:lang w:bidi="ar"/>
              </w:rPr>
            </w:pPr>
            <w:r>
              <w:rPr>
                <w:rStyle w:val="1249"/>
                <w:rFonts w:hint="default"/>
                <w:sz w:val="24"/>
                <w:szCs w:val="24"/>
                <w:lang w:bidi="ar"/>
              </w:rPr>
              <w:t xml:space="preserve">为保障我局终端环境安全</w:t>
            </w:r>
            <w:r>
              <w:rPr>
                <w:rStyle w:val="1249"/>
                <w:rFonts w:hint="default"/>
                <w:sz w:val="24"/>
                <w:szCs w:val="24"/>
                <w:lang w:bidi="ar"/>
              </w:rPr>
              <w:t xml:space="preserve">，EDR应具备系统加固的能力，支持对Windows系统的账户策略、本地策略、环境策略、注册表保护等项目进行安全加固，保证Windows系统的安全；产品应具备外设管控能力，支持对U盘、光驱、软盘、手机平板、打印机、摄像头等外设进行使用控制；针对Windows系统，产品还应具备对移动存储介质的认证和加密功能，可实现对U盘的授权认证管理、专用目录加密认证管理以及全盘加密认证管理。此外产品还应具备身份鉴别的能力，包括准入认证、终端Ukey登录认证等多种方式，保障终端资产入网、登录系统的严格身份验证，防止非法身份入网</w:t>
            </w:r>
            <w:r>
              <w:rPr>
                <w:rStyle w:val="1249"/>
                <w:rFonts w:hint="default"/>
                <w:b/>
                <w:bCs/>
                <w:sz w:val="24"/>
                <w:szCs w:val="24"/>
                <w:lang w:bidi="ar"/>
              </w:rPr>
              <w:t xml:space="preserve">（提供功能演示视频）</w:t>
            </w:r>
            <w:r>
              <w:rPr>
                <w:rStyle w:val="1249"/>
                <w:rFonts w:hint="default"/>
                <w:sz w:val="24"/>
                <w:szCs w:val="24"/>
                <w:lang w:bidi="ar"/>
              </w:rPr>
              <w:t xml:space="preserve">。</w:t>
            </w:r>
            <w:r/>
          </w:p>
          <w:p>
            <w:pPr>
              <w:jc w:val="left"/>
              <w:widowControl/>
              <w:rPr>
                <w:rStyle w:val="1249"/>
                <w:rFonts w:hint="default"/>
                <w:sz w:val="24"/>
                <w:szCs w:val="24"/>
                <w:lang w:bidi="ar"/>
              </w:rPr>
            </w:pPr>
            <w:r>
              <w:rPr>
                <w:rStyle w:val="1249"/>
                <w:rFonts w:hint="default"/>
                <w:b/>
                <w:bCs/>
                <w:sz w:val="24"/>
                <w:szCs w:val="24"/>
                <w:lang w:bidi="ar"/>
              </w:rPr>
              <w:t xml:space="preserve">注：（供应商需如实填写所投产品及服务参数，并按要求提供相应的证明材料，供应商所提供证明材料与投标产品、服务，采购需求技术内容不符，视为不满足并作相应扣分处理）本次中标后甲方有权要求在5个工作日内提供所投产品及安全服务的测试设备，对招标文件中要求演示及测试的参数功能进行逐一测试核对，不能实质性响应招标文件要求的，</w:t>
            </w:r>
            <w:bookmarkStart w:id="152" w:name="_GoBack"/>
            <w:r>
              <w:rPr>
                <w:rStyle w:val="1249"/>
                <w:rFonts w:hint="default"/>
                <w:b/>
                <w:bCs/>
                <w:sz w:val="24"/>
                <w:szCs w:val="24"/>
                <w:lang w:bidi="ar"/>
              </w:rPr>
              <w:t xml:space="preserve">则上报相应监管部门进行处理。</w:t>
            </w:r>
            <w:bookmarkEnd w:id="152"/>
            <w:r/>
            <w:r/>
          </w:p>
        </w:tc>
      </w:tr>
      <w:tr>
        <w:trPr>
          <w:jc w:val="center"/>
          <w:trHeight w:val="20"/>
        </w:trPr>
        <w:tc>
          <w:tcPr>
            <w:tcBorders>
              <w:top w:val="single" w:color="auto" w:sz="4" w:space="0"/>
              <w:left w:val="single" w:color="auto" w:sz="4" w:space="0"/>
              <w:right w:val="single" w:color="auto" w:sz="4" w:space="0"/>
            </w:tcBorders>
            <w:tcW w:w="1215" w:type="dxa"/>
            <w:vAlign w:val="center"/>
            <w:textDirection w:val="lrTb"/>
            <w:noWrap w:val="false"/>
          </w:tcPr>
          <w:p>
            <w:pPr>
              <w:jc w:val="left"/>
              <w:widowControl/>
              <w:rPr>
                <w:rStyle w:val="1249"/>
                <w:rFonts w:hint="default"/>
                <w:sz w:val="24"/>
                <w:szCs w:val="24"/>
                <w:lang w:bidi="ar"/>
              </w:rPr>
            </w:pPr>
            <w:r>
              <w:rPr>
                <w:rStyle w:val="1249"/>
                <w:rFonts w:hint="default"/>
                <w:sz w:val="24"/>
                <w:szCs w:val="24"/>
                <w:lang w:bidi="ar"/>
              </w:rPr>
              <w:t xml:space="preserve">F5设计及实施方案（</w:t>
            </w:r>
            <w:r>
              <w:rPr>
                <w:rStyle w:val="1249"/>
                <w:rFonts w:hint="default"/>
                <w:color w:val="ff0000"/>
                <w:sz w:val="24"/>
                <w:szCs w:val="24"/>
                <w:lang w:bidi="ar"/>
              </w:rPr>
              <w:t xml:space="preserve">1</w:t>
            </w:r>
            <w:r>
              <w:rPr>
                <w:rStyle w:val="1249"/>
                <w:rFonts w:hint="default"/>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7994" w:type="dxa"/>
            <w:textDirection w:val="lrTb"/>
            <w:noWrap w:val="false"/>
          </w:tcPr>
          <w:p>
            <w:pPr>
              <w:jc w:val="left"/>
              <w:widowControl/>
              <w:rPr>
                <w:rStyle w:val="1249"/>
                <w:rFonts w:hint="default"/>
                <w:sz w:val="24"/>
                <w:szCs w:val="24"/>
                <w:lang w:bidi="ar"/>
              </w:rPr>
            </w:pPr>
            <w:r>
              <w:rPr>
                <w:rStyle w:val="1249"/>
                <w:rFonts w:hint="default"/>
                <w:sz w:val="24"/>
                <w:szCs w:val="24"/>
                <w:lang w:bidi="ar"/>
              </w:rPr>
              <w:t xml:space="preserve">1、根据投标人针对本项目的系统设计方案、实施方案进行综合评分，内容包含但不限于、现状分析、设计说明、实施计划、进度安排、质量保证措施等：</w:t>
            </w:r>
            <w:r/>
          </w:p>
          <w:p>
            <w:pPr>
              <w:jc w:val="left"/>
              <w:widowControl/>
              <w:rPr>
                <w:rStyle w:val="1249"/>
                <w:rFonts w:hint="default"/>
                <w:sz w:val="24"/>
                <w:szCs w:val="24"/>
                <w:lang w:bidi="ar"/>
              </w:rPr>
            </w:pPr>
            <w:r>
              <w:rPr>
                <w:rStyle w:val="1249"/>
                <w:rFonts w:hint="default"/>
                <w:sz w:val="24"/>
                <w:szCs w:val="24"/>
                <w:lang w:bidi="ar"/>
              </w:rPr>
              <w:t xml:space="preserve">满足招标需求得1分；方案内容及图纸分析描述存在不准确或不合理的不得分。</w:t>
            </w:r>
            <w:r>
              <w:rPr>
                <w:rStyle w:val="1249"/>
                <w:rFonts w:hint="default"/>
                <w:b/>
                <w:bCs/>
                <w:sz w:val="24"/>
                <w:szCs w:val="24"/>
                <w:lang w:bidi="ar"/>
              </w:rPr>
              <w:t xml:space="preserve">（投标人需在方案中体现现有拓扑图、整改后的拓扑图，方案具备图纸的得1分，图纸与方案不符或没有图纸的不得分）</w:t>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9209" w:type="dxa"/>
            <w:vAlign w:val="center"/>
            <w:textDirection w:val="lrTb"/>
            <w:noWrap w:val="false"/>
          </w:tcPr>
          <w:p>
            <w:pPr>
              <w:jc w:val="center"/>
              <w:spacing w:line="300" w:lineRule="auto"/>
              <w:rPr>
                <w:rFonts w:ascii="宋体" w:hAnsi="宋体" w:cs="宋体"/>
                <w:bCs/>
                <w:sz w:val="24"/>
                <w:szCs w:val="24"/>
              </w:rPr>
            </w:pPr>
            <w:r>
              <w:rPr>
                <w:rStyle w:val="1249"/>
                <w:rFonts w:hint="default"/>
                <w:sz w:val="24"/>
                <w:szCs w:val="24"/>
                <w:lang w:bidi="ar"/>
              </w:rPr>
              <w:t xml:space="preserve">总分100分</w:t>
            </w:r>
            <w:r/>
          </w:p>
        </w:tc>
      </w:tr>
    </w:tbl>
    <w:p>
      <w:pPr>
        <w:rPr>
          <w:rFonts w:ascii="宋体" w:hAnsi="宋体" w:cs="宋体"/>
          <w:sz w:val="24"/>
          <w:szCs w:val="24"/>
        </w:rPr>
      </w:pPr>
      <w:r>
        <w:rPr>
          <w:rFonts w:ascii="宋体" w:hAnsi="宋体" w:cs="宋体"/>
          <w:sz w:val="24"/>
          <w:szCs w:val="24"/>
        </w:rPr>
      </w:r>
      <w:r/>
    </w:p>
    <w:p>
      <w:pPr>
        <w:spacing w:line="520" w:lineRule="exac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综合得分＝F1+F2+F3</w:t>
      </w:r>
      <w:r>
        <w:rPr>
          <w:rFonts w:cs="仿宋" w:asciiTheme="minorEastAsia" w:hAnsiTheme="minorEastAsia" w:eastAsiaTheme="minorEastAsia"/>
          <w:b/>
          <w:bCs/>
          <w:sz w:val="24"/>
          <w:szCs w:val="24"/>
        </w:rPr>
        <w:t xml:space="preserve">+F4</w:t>
      </w:r>
      <w:r>
        <w:rPr>
          <w:rFonts w:hint="eastAsia" w:cs="仿宋" w:asciiTheme="minorEastAsia" w:hAnsiTheme="minorEastAsia" w:eastAsiaTheme="minorEastAsia"/>
          <w:b/>
          <w:bCs/>
          <w:sz w:val="24"/>
          <w:szCs w:val="24"/>
        </w:rPr>
        <w:t xml:space="preserve">+F5</w:t>
      </w:r>
      <w:r/>
    </w:p>
    <w:p>
      <w:pPr>
        <w:spacing w:line="520" w:lineRule="exact"/>
        <w:rPr>
          <w:rFonts w:cs="黑体" w:asciiTheme="minorEastAsia" w:hAnsiTheme="minorEastAsia" w:eastAsiaTheme="minorEastAsia"/>
          <w:bCs/>
          <w:sz w:val="24"/>
          <w:szCs w:val="24"/>
        </w:rPr>
      </w:pPr>
      <w:r>
        <w:rPr>
          <w:rFonts w:hint="eastAsia" w:cs="仿宋_GB2312" w:asciiTheme="minorEastAsia" w:hAnsiTheme="minorEastAsia" w:eastAsiaTheme="minorEastAsia"/>
          <w:sz w:val="24"/>
          <w:szCs w:val="24"/>
        </w:rPr>
        <w:t xml:space="preserve">声明：当出现损害国家和采购人利益情况时，采购人、本中心有选择或拒绝任何供应商的权利，并对所采取的行为不主动说明原因。</w:t>
      </w:r>
      <w:r/>
    </w:p>
    <w:p>
      <w:pPr>
        <w:ind w:firstLine="562"/>
        <w:spacing w:line="52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spacing w:line="520" w:lineRule="exact"/>
        <w:rPr>
          <w:rFonts w:ascii="黑体" w:hAnsi="黑体" w:eastAsia="黑体" w:cs="黑体"/>
          <w:bCs/>
          <w:sz w:val="40"/>
          <w:szCs w:val="40"/>
        </w:rPr>
      </w:pPr>
      <w:r>
        <w:rPr>
          <w:rFonts w:ascii="黑体" w:hAnsi="黑体" w:eastAsia="黑体" w:cs="黑体"/>
          <w:bCs/>
          <w:sz w:val="40"/>
          <w:szCs w:val="40"/>
        </w:rPr>
      </w:r>
      <w:r/>
    </w:p>
    <w:p>
      <w:pPr>
        <w:rPr>
          <w:rFonts w:ascii="黑体" w:hAnsi="黑体" w:eastAsia="黑体" w:cs="黑体"/>
          <w:bCs/>
          <w:sz w:val="40"/>
          <w:szCs w:val="40"/>
        </w:rPr>
      </w:pPr>
      <w:r>
        <w:rPr>
          <w:rFonts w:hint="eastAsia" w:ascii="黑体" w:hAnsi="黑体" w:eastAsia="黑体" w:cs="黑体"/>
          <w:bCs/>
          <w:sz w:val="40"/>
          <w:szCs w:val="40"/>
        </w:rPr>
        <w:br w:type="page" w:clear="all"/>
      </w:r>
      <w:r/>
    </w:p>
    <w:p>
      <w:pPr>
        <w:jc w:val="center"/>
        <w:keepNext/>
        <w:spacing w:line="520" w:lineRule="exact"/>
        <w:rPr>
          <w:rFonts w:ascii="黑体" w:hAnsi="黑体" w:eastAsia="黑体" w:cs="黑体"/>
          <w:bCs/>
          <w:sz w:val="40"/>
          <w:szCs w:val="40"/>
        </w:rPr>
        <w:outlineLvl w:val="0"/>
      </w:pPr>
      <w:r>
        <w:rPr>
          <w:rFonts w:ascii="黑体" w:hAnsi="黑体" w:eastAsia="黑体" w:cs="黑体"/>
          <w:bCs/>
          <w:sz w:val="40"/>
          <w:szCs w:val="40"/>
        </w:rPr>
      </w:r>
      <w:r/>
    </w:p>
    <w:p>
      <w:pPr>
        <w:jc w:val="center"/>
        <w:keepNext/>
        <w:spacing w:line="520" w:lineRule="exact"/>
        <w:rPr>
          <w:rFonts w:ascii="黑体" w:hAnsi="黑体" w:eastAsia="黑体" w:cs="黑体"/>
          <w:bCs/>
          <w:sz w:val="40"/>
          <w:szCs w:val="40"/>
        </w:rPr>
        <w:outlineLvl w:val="0"/>
      </w:pPr>
      <w:r>
        <w:rPr>
          <w:rFonts w:ascii="黑体" w:hAnsi="黑体" w:eastAsia="黑体" w:cs="黑体"/>
          <w:bCs/>
          <w:sz w:val="40"/>
          <w:szCs w:val="40"/>
        </w:rPr>
      </w:r>
      <w:r/>
    </w:p>
    <w:p>
      <w:pPr>
        <w:jc w:val="center"/>
        <w:keepNext/>
        <w:spacing w:line="520" w:lineRule="exact"/>
        <w:rPr>
          <w:rFonts w:ascii="黑体" w:hAnsi="黑体" w:eastAsia="黑体" w:cs="黑体"/>
          <w:bCs/>
          <w:sz w:val="40"/>
          <w:szCs w:val="40"/>
        </w:rPr>
        <w:outlineLvl w:val="0"/>
      </w:pPr>
      <w:r>
        <w:rPr>
          <w:rFonts w:ascii="黑体" w:hAnsi="黑体" w:eastAsia="黑体" w:cs="黑体"/>
          <w:bCs/>
          <w:sz w:val="40"/>
          <w:szCs w:val="40"/>
        </w:rPr>
      </w:r>
      <w:r/>
    </w:p>
    <w:p>
      <w:pPr>
        <w:jc w:val="center"/>
        <w:keepNext/>
        <w:spacing w:line="520" w:lineRule="exact"/>
        <w:rPr>
          <w:rFonts w:ascii="黑体" w:hAnsi="黑体" w:eastAsia="黑体" w:cs="黑体"/>
          <w:bCs/>
          <w:sz w:val="40"/>
          <w:szCs w:val="40"/>
        </w:rPr>
        <w:outlineLvl w:val="0"/>
      </w:pPr>
      <w:r>
        <w:rPr>
          <w:rFonts w:ascii="黑体" w:hAnsi="黑体" w:eastAsia="黑体" w:cs="黑体"/>
          <w:bCs/>
          <w:sz w:val="40"/>
          <w:szCs w:val="40"/>
        </w:rPr>
      </w:r>
      <w:r/>
    </w:p>
    <w:p>
      <w:pPr>
        <w:jc w:val="center"/>
        <w:keepNext/>
        <w:spacing w:line="520" w:lineRule="exact"/>
        <w:rPr>
          <w:rFonts w:ascii="黑体" w:hAnsi="黑体" w:eastAsia="黑体" w:cs="黑体"/>
          <w:bCs/>
          <w:sz w:val="40"/>
          <w:szCs w:val="40"/>
        </w:rPr>
        <w:outlineLvl w:val="0"/>
      </w:pPr>
      <w:r>
        <w:rPr>
          <w:rFonts w:hint="eastAsia" w:ascii="黑体" w:hAnsi="黑体" w:eastAsia="黑体" w:cs="黑体"/>
          <w:bCs/>
          <w:sz w:val="40"/>
          <w:szCs w:val="40"/>
        </w:rPr>
        <w:t xml:space="preserve">第六章  </w:t>
      </w:r>
      <w:bookmarkEnd w:id="146"/>
      <w:r/>
      <w:bookmarkEnd w:id="147"/>
      <w:r/>
      <w:bookmarkEnd w:id="148"/>
      <w:r>
        <w:rPr>
          <w:rFonts w:hint="eastAsia" w:ascii="黑体" w:hAnsi="黑体" w:eastAsia="黑体" w:cs="黑体"/>
          <w:bCs/>
          <w:sz w:val="40"/>
          <w:szCs w:val="40"/>
        </w:rPr>
        <w:t xml:space="preserve">响应文件格式</w:t>
      </w:r>
      <w:r/>
    </w:p>
    <w:p>
      <w:pPr>
        <w:ind w:firstLine="562"/>
        <w:jc w:val="center"/>
        <w:spacing w:line="520" w:lineRule="exact"/>
        <w:rPr>
          <w:rFonts w:ascii="仿宋_GB2312" w:hAnsi="仿宋_GB2312" w:eastAsia="仿宋_GB2312" w:cs="仿宋_GB2312"/>
          <w:b/>
          <w:sz w:val="28"/>
          <w:szCs w:val="28"/>
        </w:rPr>
      </w:pPr>
      <w:r/>
      <w:bookmarkStart w:id="153" w:name="_Hlt26671244"/>
      <w:r/>
      <w:bookmarkStart w:id="154" w:name="_Hlt26955039"/>
      <w:r/>
      <w:bookmarkStart w:id="155" w:name="_Toc49090576"/>
      <w:r/>
      <w:bookmarkStart w:id="156" w:name="_Toc26554094"/>
      <w:r/>
      <w:bookmarkStart w:id="157" w:name="_Toc120614282"/>
      <w:r/>
      <w:bookmarkEnd w:id="153"/>
      <w:r/>
      <w:bookmarkEnd w:id="154"/>
      <w:r/>
      <w:r/>
    </w:p>
    <w:p>
      <w:pPr>
        <w:jc w:val="center"/>
        <w:spacing w:line="520" w:lineRule="exact"/>
        <w:rPr>
          <w:rFonts w:ascii="方正小标宋_GBK" w:hAnsi="方正小标宋_GBK" w:eastAsia="方正小标宋_GBK" w:cs="方正小标宋_GBK"/>
          <w:bCs/>
          <w:sz w:val="44"/>
          <w:szCs w:val="44"/>
        </w:rPr>
      </w:pPr>
      <w:r>
        <w:rPr>
          <w:rFonts w:ascii="方正小标宋_GBK" w:hAnsi="方正小标宋_GBK" w:eastAsia="方正小标宋_GBK" w:cs="方正小标宋_GBK"/>
          <w:bCs/>
          <w:sz w:val="44"/>
          <w:szCs w:val="44"/>
        </w:rPr>
      </w:r>
      <w:r/>
    </w:p>
    <w:p>
      <w:pPr>
        <w:jc w:val="center"/>
        <w:spacing w:line="520" w:lineRule="exact"/>
        <w:rPr>
          <w:rFonts w:ascii="方正小标宋_GBK" w:hAnsi="方正小标宋_GBK" w:eastAsia="方正小标宋_GBK" w:cs="方正小标宋_GBK"/>
          <w:bCs/>
          <w:sz w:val="44"/>
          <w:szCs w:val="44"/>
        </w:rPr>
      </w:pPr>
      <w:r>
        <w:rPr>
          <w:rFonts w:ascii="方正小标宋_GBK" w:hAnsi="方正小标宋_GBK" w:eastAsia="方正小标宋_GBK" w:cs="方正小标宋_GBK"/>
          <w:bCs/>
          <w:sz w:val="44"/>
          <w:szCs w:val="44"/>
        </w:rPr>
      </w:r>
      <w:r/>
    </w:p>
    <w:p>
      <w:pPr>
        <w:jc w:val="center"/>
        <w:spacing w:line="920" w:lineRule="exact"/>
        <w:rPr>
          <w:rFonts w:ascii="方正小标宋_GBK" w:hAnsi="方正小标宋_GBK" w:eastAsia="方正小标宋_GBK" w:cs="方正小标宋_GBK"/>
          <w:bCs/>
          <w:sz w:val="56"/>
          <w:szCs w:val="56"/>
        </w:rPr>
      </w:pPr>
      <w:r>
        <w:rPr>
          <w:rFonts w:hint="eastAsia" w:ascii="方正小标宋_GBK" w:hAnsi="方正小标宋_GBK" w:eastAsia="方正小标宋_GBK" w:cs="方正小标宋_GBK"/>
          <w:bCs/>
          <w:sz w:val="56"/>
          <w:szCs w:val="56"/>
        </w:rPr>
        <w:t xml:space="preserve">响  应  文  件</w:t>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left="1260"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 目 名 称：</w:t>
      </w:r>
      <w:r>
        <w:rPr>
          <w:rFonts w:hint="eastAsia" w:ascii="仿宋_GB2312" w:hAnsi="仿宋_GB2312" w:eastAsia="仿宋_GB2312" w:cs="仿宋_GB2312"/>
          <w:b/>
          <w:sz w:val="28"/>
          <w:szCs w:val="28"/>
          <w:u w:val="single"/>
        </w:rPr>
        <w:t xml:space="preserve">                   </w:t>
      </w:r>
      <w:r/>
    </w:p>
    <w:p>
      <w:pPr>
        <w:ind w:left="1260" w:firstLine="562"/>
        <w:spacing w:line="520" w:lineRule="exact"/>
        <w:rPr>
          <w:rFonts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采 购 编 号：</w:t>
      </w:r>
      <w:r>
        <w:rPr>
          <w:rFonts w:hint="eastAsia" w:ascii="仿宋_GB2312" w:hAnsi="仿宋_GB2312" w:eastAsia="仿宋_GB2312" w:cs="仿宋_GB2312"/>
          <w:b/>
          <w:sz w:val="28"/>
          <w:szCs w:val="28"/>
          <w:u w:val="single"/>
        </w:rPr>
        <w:t xml:space="preserve">                   </w:t>
      </w:r>
      <w:r/>
    </w:p>
    <w:p>
      <w:pPr>
        <w:ind w:left="1260" w:firstLine="562"/>
        <w:spacing w:line="520" w:lineRule="exact"/>
        <w:rPr>
          <w:rFonts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供应商名称 ：</w:t>
      </w:r>
      <w:r>
        <w:rPr>
          <w:rFonts w:hint="eastAsia" w:ascii="仿宋_GB2312" w:hAnsi="仿宋_GB2312" w:eastAsia="仿宋_GB2312" w:cs="仿宋_GB2312"/>
          <w:b/>
          <w:sz w:val="28"/>
          <w:szCs w:val="28"/>
          <w:u w:val="single"/>
        </w:rPr>
        <w:t xml:space="preserve">（加盖CA电子公章）</w:t>
      </w:r>
      <w:r/>
    </w:p>
    <w:p>
      <w:pPr>
        <w:ind w:left="1260"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sz w:val="28"/>
          <w:szCs w:val="28"/>
        </w:rPr>
        <w:t xml:space="preserve">日      期 ：</w:t>
      </w:r>
      <w:r>
        <w:rPr>
          <w:rFonts w:hint="eastAsia" w:ascii="仿宋_GB2312" w:hAnsi="仿宋_GB2312" w:eastAsia="仿宋_GB2312" w:cs="仿宋_GB2312"/>
          <w:b/>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r/>
    </w:p>
    <w:p>
      <w:pPr>
        <w:ind w:firstLine="640"/>
        <w:jc w:val="center"/>
        <w:spacing w:line="520" w:lineRule="exact"/>
        <w:rPr>
          <w:rFonts w:ascii="黑体" w:hAnsi="黑体" w:eastAsia="黑体" w:cs="黑体"/>
          <w:sz w:val="32"/>
          <w:szCs w:val="32"/>
        </w:rPr>
      </w:pPr>
      <w:r>
        <w:rPr>
          <w:rFonts w:hint="eastAsia" w:ascii="黑体" w:hAnsi="黑体" w:eastAsia="黑体" w:cs="黑体"/>
          <w:sz w:val="32"/>
          <w:szCs w:val="32"/>
        </w:rPr>
        <w:t xml:space="preserve">响应主要文件目录</w:t>
      </w:r>
      <w:r/>
    </w:p>
    <w:p>
      <w:pPr>
        <w:ind w:firstLine="562"/>
        <w:jc w:val="center"/>
        <w:spacing w:line="52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一、法人或者其他组织的营业执照等证明文件，自然人的身份证明</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二、上一年度的财务状况报告</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六、特定资格要求的证明文件（如果本项目设置特定资格要求，则需要提供）</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八、磋商响应函</w:t>
      </w:r>
      <w:r/>
    </w:p>
    <w:p>
      <w:pPr>
        <w:ind w:firstLine="560"/>
        <w:spacing w:line="520" w:lineRule="exact"/>
        <w:rPr>
          <w:rFonts w:ascii="黑体" w:hAnsi="黑体" w:eastAsia="黑体" w:cs="黑体"/>
          <w:i/>
          <w:iCs/>
          <w:sz w:val="28"/>
          <w:szCs w:val="28"/>
          <w:u w:val="single"/>
        </w:rPr>
      </w:pPr>
      <w:r>
        <w:rPr>
          <w:rFonts w:hint="eastAsia" w:ascii="黑体" w:hAnsi="黑体" w:eastAsia="黑体" w:cs="黑体"/>
          <w:i/>
          <w:iCs/>
          <w:sz w:val="28"/>
          <w:szCs w:val="28"/>
          <w:u w:val="single"/>
        </w:rPr>
        <w:t xml:space="preserve">九、竞争性磋商首次报价书</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十、</w:t>
      </w:r>
      <w:r>
        <w:rPr>
          <w:rFonts w:hint="eastAsia" w:ascii="仿宋_GB2312" w:hAnsi="黑体" w:eastAsia="仿宋_GB2312"/>
          <w:sz w:val="28"/>
          <w:szCs w:val="28"/>
        </w:rPr>
        <w:t xml:space="preserve">中小企业声明函</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十一、残疾人福利性单位声明函</w:t>
      </w:r>
      <w:r/>
    </w:p>
    <w:p>
      <w:pPr>
        <w:ind w:firstLine="560"/>
        <w:spacing w:line="520" w:lineRule="exact"/>
        <w:rPr>
          <w:rFonts w:ascii="黑体" w:hAnsi="黑体" w:eastAsia="黑体" w:cs="黑体"/>
          <w:i/>
          <w:iCs/>
          <w:sz w:val="28"/>
          <w:szCs w:val="28"/>
          <w:u w:val="single"/>
        </w:rPr>
      </w:pPr>
      <w:r>
        <w:rPr>
          <w:rFonts w:hint="eastAsia" w:ascii="黑体" w:hAnsi="黑体" w:eastAsia="黑体" w:cs="黑体"/>
          <w:i/>
          <w:iCs/>
          <w:sz w:val="28"/>
          <w:szCs w:val="28"/>
          <w:u w:val="single"/>
        </w:rPr>
        <w:t xml:space="preserve">十二、分项报价表</w:t>
      </w:r>
      <w:r/>
    </w:p>
    <w:p>
      <w:pPr>
        <w:ind w:firstLine="560"/>
        <w:spacing w:line="520" w:lineRule="exact"/>
        <w:rPr>
          <w:rFonts w:ascii="黑体" w:hAnsi="黑体" w:eastAsia="黑体" w:cs="黑体"/>
          <w:i/>
          <w:iCs/>
          <w:sz w:val="28"/>
          <w:szCs w:val="28"/>
          <w:u w:val="single"/>
        </w:rPr>
      </w:pPr>
      <w:r>
        <w:rPr>
          <w:rFonts w:hint="eastAsia" w:ascii="黑体" w:hAnsi="黑体" w:eastAsia="黑体" w:cs="黑体"/>
          <w:i/>
          <w:iCs/>
          <w:sz w:val="28"/>
          <w:szCs w:val="28"/>
          <w:u w:val="single"/>
        </w:rPr>
        <w:t xml:space="preserve">十三、技术要求响应及偏离表</w:t>
      </w:r>
      <w:r/>
    </w:p>
    <w:p>
      <w:pPr>
        <w:ind w:firstLine="560"/>
        <w:spacing w:line="520" w:lineRule="exact"/>
        <w:rPr>
          <w:rFonts w:ascii="黑体" w:hAnsi="黑体" w:eastAsia="黑体" w:cs="黑体"/>
          <w:i/>
          <w:iCs/>
          <w:sz w:val="28"/>
          <w:szCs w:val="28"/>
          <w:u w:val="single"/>
        </w:rPr>
      </w:pPr>
      <w:r>
        <w:rPr>
          <w:rFonts w:hint="eastAsia" w:ascii="黑体" w:hAnsi="黑体" w:eastAsia="黑体" w:cs="黑体"/>
          <w:i/>
          <w:iCs/>
          <w:sz w:val="28"/>
          <w:szCs w:val="28"/>
          <w:u w:val="single"/>
        </w:rPr>
        <w:t xml:space="preserve">十四、商务要求响应及偏离表</w:t>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仿宋_GB2312" w:hAnsi="仿宋_GB2312" w:eastAsia="仿宋_GB2312" w:cs="仿宋_GB2312"/>
          <w:i/>
          <w:sz w:val="28"/>
          <w:szCs w:val="28"/>
          <w:u w:val="single"/>
        </w:rPr>
      </w:pPr>
      <w:r>
        <w:rPr>
          <w:rFonts w:hint="eastAsia" w:ascii="仿宋" w:hAnsi="仿宋" w:eastAsia="仿宋"/>
          <w:sz w:val="28"/>
          <w:szCs w:val="28"/>
        </w:rPr>
        <w:t xml:space="preserve">采购文件要求或供应商认为需要提供的其他资料</w:t>
      </w:r>
      <w:r/>
    </w:p>
    <w:p>
      <w:pPr>
        <w:rPr>
          <w:rFonts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一、法人或者其他组织的营业执照等证明文件，自然人的身份证明</w:t>
      </w:r>
      <w:r/>
    </w:p>
    <w:p>
      <w:pPr>
        <w:ind w:firstLine="560"/>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ind w:firstLine="560"/>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二、上一年度的财务状况报告</w:t>
      </w:r>
      <w:r/>
    </w:p>
    <w:p>
      <w:pPr>
        <w:ind w:firstLine="561"/>
        <w:spacing w:line="520" w:lineRule="exact"/>
        <w:rPr>
          <w:rFonts w:ascii="仿宋_GB2312" w:eastAsia="仿宋_GB2312" w:cs="仿宋_GB2312" w:hAnsiTheme="minorEastAsia"/>
          <w:bCs/>
          <w:sz w:val="28"/>
          <w:szCs w:val="28"/>
        </w:rPr>
      </w:pPr>
      <w:r>
        <w:rPr>
          <w:rFonts w:hint="eastAsia" w:ascii="仿宋_GB2312" w:eastAsia="仿宋_GB2312" w:cs="仿宋_GB2312" w:hAnsiTheme="minorEastAsia"/>
          <w:bCs/>
          <w:sz w:val="28"/>
          <w:szCs w:val="28"/>
        </w:rPr>
        <w:t xml:space="preserve">1.投标人成立不满一年无需提供。</w:t>
      </w:r>
      <w:r/>
    </w:p>
    <w:p>
      <w:pPr>
        <w:ind w:firstLine="561"/>
        <w:spacing w:line="520" w:lineRule="exact"/>
        <w:rPr>
          <w:rFonts w:ascii="仿宋_GB2312" w:eastAsia="仿宋_GB2312" w:cs="仿宋_GB2312" w:hAnsiTheme="minorEastAsia"/>
          <w:bCs/>
          <w:sz w:val="28"/>
          <w:szCs w:val="28"/>
        </w:rPr>
      </w:pPr>
      <w:r>
        <w:rPr>
          <w:rFonts w:hint="eastAsia" w:ascii="仿宋_GB2312" w:eastAsia="仿宋_GB2312" w:cs="仿宋_GB2312" w:hAnsiTheme="minorEastAsia"/>
          <w:bCs/>
          <w:sz w:val="28"/>
          <w:szCs w:val="28"/>
        </w:rPr>
        <w:t xml:space="preserve">2.</w:t>
      </w:r>
      <w:r>
        <w:rPr>
          <w:rFonts w:hint="eastAsia" w:ascii="仿宋_GB2312" w:eastAsia="仿宋_GB2312" w:cs="仿宋_GB2312" w:hAnsiTheme="minorEastAsia"/>
          <w:sz w:val="28"/>
          <w:szCs w:val="28"/>
        </w:rPr>
        <w:t xml:space="preserve"> </w:t>
      </w:r>
      <w:r>
        <w:rPr>
          <w:rFonts w:hint="eastAsia" w:ascii="仿宋_GB2312" w:eastAsia="仿宋_GB2312" w:hAnsiTheme="minorEastAsia"/>
          <w:sz w:val="28"/>
          <w:szCs w:val="28"/>
        </w:rPr>
        <w:t xml:space="preserve">近六个月中任意一个月的财务状况报告（</w:t>
      </w:r>
      <w:r>
        <w:rPr>
          <w:rFonts w:hint="eastAsia" w:ascii="仿宋_GB2312" w:eastAsia="仿宋_GB2312" w:cs="仿宋_GB2312" w:hAnsiTheme="minorEastAsia"/>
          <w:sz w:val="28"/>
          <w:szCs w:val="28"/>
        </w:rPr>
        <w:t xml:space="preserve">至少包括</w:t>
      </w:r>
      <w:r>
        <w:rPr>
          <w:rFonts w:hint="eastAsia" w:ascii="仿宋_GB2312" w:eastAsia="仿宋_GB2312" w:hAnsiTheme="minorEastAsia"/>
          <w:sz w:val="28"/>
          <w:szCs w:val="28"/>
        </w:rPr>
        <w:t xml:space="preserve">资产负债表和利润表）扫描件，或经会计师事务所出具的近两年中任意一个年度的审计报告扫描件，或本年度基本开户银行出具的资信证明扫描件</w:t>
      </w:r>
      <w:r>
        <w:rPr>
          <w:rFonts w:hint="eastAsia" w:ascii="仿宋_GB2312" w:eastAsia="仿宋_GB2312" w:cs="仿宋_GB2312" w:hAnsiTheme="minorEastAsia"/>
          <w:bCs/>
          <w:sz w:val="28"/>
          <w:szCs w:val="28"/>
        </w:rPr>
        <w:t xml:space="preserve">。</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firstLine="561"/>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提供提交响应文件截止时间前六个月至少一个月依法缴纳税收及缴纳社会保障资金的证明材料。供应</w:t>
      </w:r>
      <w:r>
        <w:rPr>
          <w:rFonts w:hint="eastAsia" w:ascii="仿宋_GB2312" w:hAnsi="仿宋_GB2312" w:eastAsia="仿宋_GB2312" w:cs="仿宋_GB2312"/>
          <w:bCs/>
          <w:sz w:val="28"/>
          <w:szCs w:val="28"/>
        </w:rPr>
        <w:t xml:space="preserve">商依法</w:t>
      </w:r>
      <w:r>
        <w:rPr>
          <w:rFonts w:hint="eastAsia" w:ascii="仿宋_GB2312" w:hAnsi="仿宋_GB2312" w:eastAsia="仿宋_GB2312" w:cs="仿宋_GB2312"/>
          <w:bCs/>
          <w:sz w:val="28"/>
          <w:szCs w:val="28"/>
        </w:rPr>
        <w:t xml:space="preserve">享受缓缴、免缴税收、社会保障资金的提供证明材料。</w:t>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ascii="仿宋_GB2312" w:hAnsi="仿宋_GB2312" w:eastAsia="仿宋_GB2312" w:cs="仿宋_GB2312"/>
          <w:sz w:val="28"/>
          <w:szCs w:val="28"/>
          <w:u w:val="single"/>
        </w:rPr>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ascii="仿宋_GB2312" w:hAnsi="仿宋_GB2312" w:eastAsia="仿宋_GB2312" w:cs="仿宋_GB2312"/>
          <w:sz w:val="28"/>
          <w:szCs w:val="28"/>
          <w:u w:val="single"/>
        </w:rPr>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jc w:val="center"/>
        <w:spacing w:line="52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声  明</w:t>
      </w:r>
      <w:r/>
    </w:p>
    <w:p>
      <w:pPr>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u w:val="single"/>
        </w:rPr>
        <w:t xml:space="preserve">             （采购单位名称）</w:t>
      </w:r>
      <w:r>
        <w:rPr>
          <w:rFonts w:hint="eastAsia" w:ascii="仿宋_GB2312" w:hAnsi="仿宋_GB2312" w:eastAsia="仿宋_GB2312" w:cs="仿宋_GB2312"/>
          <w:b/>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   如果本项目申请人的特定资格要求中要求提供的，必须提供。</w:t>
      </w:r>
      <w:bookmarkEnd w:id="155"/>
      <w:r/>
      <w:bookmarkEnd w:id="156"/>
      <w:r/>
      <w:bookmarkEnd w:id="157"/>
      <w:r/>
      <w:r/>
    </w:p>
    <w:p>
      <w:pPr>
        <w:ind w:firstLine="560"/>
        <w:spacing w:line="520" w:lineRule="exact"/>
        <w:rPr>
          <w:rFonts w:ascii="仿宋_GB2312" w:hAnsi="仿宋_GB2312" w:eastAsia="仿宋_GB2312" w:cs="仿宋_GB2312"/>
          <w:bCs/>
          <w:sz w:val="28"/>
          <w:szCs w:val="28"/>
        </w:rPr>
      </w:pPr>
      <w:r/>
      <w:bookmarkStart w:id="158" w:name="_Toc120614284"/>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rPr>
          <w:rFonts w:ascii="黑体" w:hAnsi="黑体" w:eastAsia="黑体" w:cs="黑体"/>
          <w:i/>
          <w:sz w:val="28"/>
          <w:szCs w:val="28"/>
          <w:u w:val="single"/>
        </w:rPr>
      </w:pPr>
      <w:r>
        <w:rPr>
          <w:rFonts w:hint="eastAsia" w:ascii="黑体" w:hAnsi="黑体" w:eastAsia="黑体" w:cs="黑体"/>
          <w:i/>
          <w:sz w:val="28"/>
          <w:szCs w:val="28"/>
          <w:u w:val="single"/>
        </w:rPr>
        <w:br w:type="page" w:clear="all"/>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firstLine="560"/>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Cs/>
          <w:sz w:val="36"/>
          <w:szCs w:val="36"/>
        </w:rPr>
      </w:pPr>
      <w:r>
        <w:rPr>
          <w:rFonts w:hint="eastAsia" w:ascii="黑体" w:hAnsi="黑体" w:eastAsia="黑体" w:cs="黑体"/>
          <w:iCs/>
          <w:sz w:val="36"/>
          <w:szCs w:val="36"/>
        </w:rPr>
        <w:t xml:space="preserve">法人授权书</w:t>
      </w:r>
      <w:r/>
    </w:p>
    <w:p>
      <w:pPr>
        <w:jc w:val="center"/>
        <w:spacing w:line="520" w:lineRule="exact"/>
        <w:rPr>
          <w:rFonts w:ascii="黑体" w:hAnsi="黑体" w:eastAsia="黑体" w:cs="黑体"/>
          <w:iCs/>
          <w:sz w:val="36"/>
          <w:szCs w:val="36"/>
        </w:rPr>
      </w:pPr>
      <w:r>
        <w:rPr>
          <w:rFonts w:ascii="黑体" w:hAnsi="黑体" w:eastAsia="黑体" w:cs="黑体"/>
          <w:iCs/>
          <w:sz w:val="36"/>
          <w:szCs w:val="36"/>
        </w:rPr>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w:t>
      </w:r>
      <w:r>
        <w:rPr>
          <w:rFonts w:hint="eastAsia" w:ascii="仿宋_GB2312" w:hAnsi="仿宋_GB2312" w:eastAsia="仿宋_GB2312" w:cs="仿宋_GB2312"/>
          <w:sz w:val="28"/>
          <w:szCs w:val="28"/>
        </w:rPr>
        <w:t xml:space="preserve">采购活动的合法代理人，以本单位名义全权处理一切与该项目采购有关的事务。</w:t>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firstLine="364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159" w:name="_Hlt26671380"/>
      <w:r/>
      <w:bookmarkStart w:id="160" w:name="_格式3__银行出具的资信证明"/>
      <w:r/>
      <w:bookmarkStart w:id="161" w:name="_Hlt26955070"/>
      <w:r/>
      <w:bookmarkEnd w:id="159"/>
      <w:r/>
      <w:bookmarkEnd w:id="160"/>
      <w:r/>
      <w:bookmarkEnd w:id="161"/>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2"/>
        <w:keepLines/>
        <w:keepNext/>
        <w:spacing w:line="520" w:lineRule="exact"/>
        <w:rPr>
          <w:rFonts w:ascii="黑体" w:hAnsi="黑体" w:eastAsia="黑体" w:cs="黑体"/>
          <w:bCs/>
          <w:i/>
          <w:sz w:val="28"/>
          <w:szCs w:val="28"/>
          <w:u w:val="single"/>
        </w:rPr>
        <w:outlineLvl w:val="1"/>
      </w:pPr>
      <w:r>
        <w:rPr>
          <w:rFonts w:hint="eastAsia" w:ascii="仿宋_GB2312" w:hAnsi="仿宋_GB2312" w:eastAsia="仿宋_GB2312" w:cs="仿宋_GB2312"/>
          <w:b/>
          <w:sz w:val="28"/>
          <w:szCs w:val="28"/>
        </w:rPr>
        <w:br w:type="page" w:clear="all"/>
      </w:r>
      <w:r>
        <w:rPr>
          <w:rFonts w:hint="eastAsia" w:ascii="黑体" w:hAnsi="黑体" w:eastAsia="黑体" w:cs="黑体"/>
          <w:bCs/>
          <w:i/>
          <w:sz w:val="28"/>
          <w:szCs w:val="28"/>
          <w:u w:val="single"/>
        </w:rPr>
        <w:t xml:space="preserve">八、磋商响应函</w:t>
      </w:r>
      <w:r/>
    </w:p>
    <w:p>
      <w:pPr>
        <w:jc w:val="center"/>
        <w:keepLines/>
        <w:keepNext/>
        <w:spacing w:line="520" w:lineRule="exact"/>
        <w:rPr>
          <w:rFonts w:ascii="黑体" w:hAnsi="黑体" w:eastAsia="黑体" w:cs="黑体"/>
          <w:bCs/>
          <w:iCs/>
          <w:sz w:val="32"/>
          <w:szCs w:val="32"/>
        </w:rPr>
        <w:outlineLvl w:val="1"/>
      </w:pPr>
      <w:r>
        <w:rPr>
          <w:rFonts w:hint="eastAsia" w:ascii="黑体" w:hAnsi="黑体" w:eastAsia="黑体" w:cs="黑体"/>
          <w:bCs/>
          <w:iCs/>
          <w:sz w:val="32"/>
          <w:szCs w:val="32"/>
        </w:rPr>
        <w:t xml:space="preserve">磋商响应函</w:t>
      </w:r>
      <w:r/>
    </w:p>
    <w:p>
      <w:pPr>
        <w:ind w:firstLine="560"/>
        <w:keepLines/>
        <w:keepNext/>
        <w:spacing w:line="520" w:lineRule="exact"/>
        <w:rPr>
          <w:rFonts w:ascii="黑体" w:hAnsi="黑体" w:eastAsia="黑体" w:cs="黑体"/>
          <w:bCs/>
          <w:i/>
          <w:sz w:val="28"/>
          <w:szCs w:val="28"/>
          <w:u w:val="single"/>
        </w:rPr>
        <w:outlineLvl w:val="1"/>
      </w:pPr>
      <w:r>
        <w:rPr>
          <w:rFonts w:ascii="黑体" w:hAnsi="黑体" w:eastAsia="黑体" w:cs="黑体"/>
          <w:bCs/>
          <w:i/>
          <w:sz w:val="28"/>
          <w:szCs w:val="28"/>
          <w:u w:val="single"/>
        </w:rPr>
      </w:r>
      <w:r/>
    </w:p>
    <w:p>
      <w:pPr>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致：兴化市政务服务中心</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sz w:val="28"/>
          <w:szCs w:val="28"/>
        </w:rPr>
        <w:t xml:space="preserve">号磋商文件，正式授权下述签字人_________________(姓名)代表我方______________（供应商的名称），全权处理本次项目磋商的有关事宜。</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据此函，__________签字</w:t>
      </w:r>
      <w:r>
        <w:rPr>
          <w:rFonts w:hint="eastAsia" w:ascii="仿宋_GB2312" w:hAnsi="仿宋_GB2312" w:eastAsia="仿宋_GB2312" w:cs="仿宋_GB2312"/>
          <w:sz w:val="28"/>
          <w:szCs w:val="28"/>
        </w:rPr>
        <w:t xml:space="preserve">人兹宣布</w:t>
      </w:r>
      <w:r>
        <w:rPr>
          <w:rFonts w:hint="eastAsia" w:ascii="仿宋_GB2312" w:hAnsi="仿宋_GB2312" w:eastAsia="仿宋_GB2312" w:cs="仿宋_GB2312"/>
          <w:sz w:val="28"/>
          <w:szCs w:val="28"/>
        </w:rPr>
        <w:t xml:space="preserve">同意如下：</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1.按磋商文件规定的各项要求，向买方提供所需货物、服务（包含与货物相关的服务及与服务相关的货物）。</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2.我们完全理解贵方不一定将合同授予最低报价的供应商。</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3.我们已详细审核全部磋商文件及其有效补充文件，我们知道必须放弃提出含糊不清或误解问题的权利。</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4.我们同意从规定的开标日期起遵循本响应文件，并在规定的磋商有效期期满之前均具有约束力。</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5.同意向贵方提供贵方可能另外要求的与磋商有关的任何证据或资料，并保证我方已提供和将要提供的文件是真实的、准确的。</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6.一旦我方成交,我方将根据磋商文件的规定，严格履行合同的责任和义务,并保证在磋商文件规定的时间完成项目，交付买方验收、使用。</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7.我方与本磋商有关的正式通讯地址为：</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w:t>
      </w:r>
      <w:r>
        <w:rPr>
          <w:rFonts w:hint="eastAsia" w:ascii="仿宋_GB2312" w:hAnsi="仿宋_GB2312" w:eastAsia="仿宋_GB2312" w:cs="仿宋_GB2312"/>
          <w:sz w:val="28"/>
          <w:szCs w:val="28"/>
        </w:rPr>
        <w:t xml:space="preserve">          编：</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账</w:t>
      </w:r>
      <w:r>
        <w:rPr>
          <w:rFonts w:hint="eastAsia" w:ascii="仿宋_GB2312" w:hAnsi="仿宋_GB2312" w:eastAsia="仿宋_GB2312" w:cs="仿宋_GB2312"/>
          <w:sz w:val="28"/>
          <w:szCs w:val="28"/>
        </w:rPr>
        <w:t xml:space="preserve">          户： </w:t>
      </w:r>
      <w:r/>
    </w:p>
    <w:p>
      <w:pPr>
        <w:ind w:firstLine="560"/>
        <w:jc w:val="left"/>
        <w:spacing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日           期：________年____月____日</w:t>
      </w:r>
      <w:r/>
    </w:p>
    <w:p>
      <w:pPr>
        <w:ind w:firstLine="560"/>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九、竞争性磋商首次报价书</w:t>
      </w:r>
      <w:r/>
    </w:p>
    <w:p>
      <w:pPr>
        <w:ind w:firstLine="562"/>
        <w:spacing w:line="520" w:lineRule="exact"/>
        <w:rPr>
          <w:rFonts w:ascii="黑体" w:hAnsi="黑体" w:eastAsia="黑体" w:cs="黑体"/>
          <w:b/>
          <w:bCs/>
          <w:i/>
          <w:iCs/>
          <w:sz w:val="28"/>
          <w:szCs w:val="28"/>
          <w:u w:val="single"/>
        </w:rPr>
      </w:pPr>
      <w:r>
        <w:rPr>
          <w:rFonts w:ascii="黑体" w:hAnsi="黑体" w:eastAsia="黑体" w:cs="黑体"/>
          <w:b/>
          <w:bCs/>
          <w:i/>
          <w:iCs/>
          <w:sz w:val="28"/>
          <w:szCs w:val="28"/>
          <w:u w:val="single"/>
        </w:rPr>
      </w:r>
      <w:r/>
    </w:p>
    <w:p>
      <w:pPr>
        <w:contextualSpacing/>
        <w:ind w:firstLine="56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162" w:name="TBR"/>
      <w:r/>
      <w:bookmarkEnd w:id="162"/>
      <w:r/>
      <w:r/>
    </w:p>
    <w:p>
      <w:pPr>
        <w:contextualSpacing/>
        <w:ind w:firstLine="56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163" w:name="XMMC"/>
      <w:r/>
      <w:bookmarkEnd w:id="163"/>
      <w:r/>
      <w:r/>
    </w:p>
    <w:p>
      <w:pPr>
        <w:contextualSpacing/>
        <w:ind w:firstLine="56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164" w:name="XMBH"/>
      <w:r/>
      <w:bookmarkEnd w:id="164"/>
      <w:r>
        <w:rPr>
          <w:rFonts w:hint="eastAsia" w:ascii="仿宋_GB2312" w:hAnsi="仿宋_GB2312" w:eastAsia="仿宋_GB2312" w:cs="仿宋_GB2312"/>
          <w:color w:val="000000"/>
          <w:sz w:val="28"/>
          <w:szCs w:val="28"/>
        </w:rPr>
        <w:t xml:space="preserve">                            分包号：</w:t>
      </w:r>
      <w:bookmarkStart w:id="165" w:name="FBH"/>
      <w:r/>
      <w:bookmarkEnd w:id="165"/>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contextualSpacing/>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投标货物名称</w:t>
            </w:r>
            <w:r/>
          </w:p>
        </w:tc>
        <w:tc>
          <w:tcPr>
            <w:tcW w:w="6405" w:type="dxa"/>
            <w:vAlign w:val="center"/>
            <w:textDirection w:val="lrTb"/>
            <w:noWrap w:val="false"/>
          </w:tcPr>
          <w:p>
            <w:pPr>
              <w:contextualSpacing/>
              <w:jc w:val="center"/>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trHeight w:val="1697"/>
        </w:trPr>
        <w:tc>
          <w:tcPr>
            <w:tcW w:w="2481" w:type="dxa"/>
            <w:vAlign w:val="center"/>
            <w:textDirection w:val="lrTb"/>
            <w:noWrap w:val="false"/>
          </w:tcPr>
          <w:p>
            <w:pPr>
              <w:contextualSpacing/>
              <w:ind w:firstLine="560"/>
              <w:spacing w:line="520" w:lineRule="exact"/>
              <w:rPr>
                <w:rFonts w:ascii="仿宋_GB2312" w:hAnsi="仿宋_GB2312" w:eastAsia="仿宋_GB2312" w:cs="仿宋_GB2312"/>
                <w:color w:val="000000"/>
                <w:sz w:val="28"/>
                <w:szCs w:val="28"/>
              </w:rPr>
            </w:pPr>
            <w:r>
              <w:rPr>
                <w:rFonts w:ascii="仿宋_GB2312" w:hAnsi="仿宋_GB2312" w:eastAsia="仿宋_GB2312" w:cs="仿宋_GB2312"/>
                <w:color w:val="000000"/>
                <w:sz w:val="28"/>
                <w:szCs w:val="28"/>
              </w:rPr>
            </w:r>
            <w:r/>
          </w:p>
        </w:tc>
        <w:tc>
          <w:tcPr>
            <w:tcW w:w="6405" w:type="dxa"/>
            <w:vAlign w:val="center"/>
            <w:textDirection w:val="lrTb"/>
            <w:noWrap w:val="false"/>
          </w:tcPr>
          <w:p>
            <w:pPr>
              <w:contextualSpacing/>
              <w:ind w:firstLine="56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166" w:name="JEDX"/>
            <w:r/>
            <w:bookmarkEnd w:id="166"/>
            <w:r/>
            <w:r/>
          </w:p>
          <w:p>
            <w:pPr>
              <w:contextualSpacing/>
              <w:ind w:firstLine="560"/>
              <w:jc w:val="left"/>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167" w:name="JEXX"/>
            <w:r/>
            <w:bookmarkEnd w:id="167"/>
            <w:r>
              <w:rPr>
                <w:rFonts w:hint="eastAsia" w:ascii="仿宋_GB2312" w:hAnsi="仿宋_GB2312" w:eastAsia="仿宋_GB2312" w:cs="仿宋_GB2312"/>
                <w:color w:val="000000"/>
                <w:sz w:val="28"/>
                <w:szCs w:val="28"/>
              </w:rPr>
              <w:t xml:space="preserve">     （元）（人民币）</w:t>
            </w:r>
            <w:r/>
          </w:p>
        </w:tc>
      </w:tr>
    </w:tbl>
    <w:p>
      <w:pPr>
        <w:contextualSpacing/>
        <w:ind w:firstLine="560"/>
        <w:jc w:val="right"/>
        <w:spacing w:line="520" w:lineRule="exact"/>
        <w:rPr>
          <w:rFonts w:ascii="仿宋_GB2312" w:hAnsi="仿宋_GB2312" w:eastAsia="仿宋_GB2312" w:cs="仿宋_GB2312"/>
          <w:color w:val="000000"/>
          <w:sz w:val="28"/>
          <w:szCs w:val="28"/>
        </w:rPr>
      </w:pPr>
      <w:r>
        <w:rPr>
          <w:rFonts w:ascii="仿宋_GB2312" w:hAnsi="仿宋_GB2312" w:eastAsia="仿宋_GB2312" w:cs="仿宋_GB2312"/>
          <w:color w:val="000000"/>
          <w:sz w:val="28"/>
          <w:szCs w:val="28"/>
        </w:rPr>
      </w:r>
      <w:r/>
    </w:p>
    <w:p>
      <w:pPr>
        <w:contextualSpacing/>
        <w:ind w:firstLine="560"/>
        <w:jc w:val="right"/>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u w:val="single"/>
        </w:rPr>
        <w:t xml:space="preserve">     </w:t>
      </w:r>
      <w:bookmarkStart w:id="168" w:name="NF"/>
      <w:r/>
      <w:bookmarkEnd w:id="168"/>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169" w:name="YF"/>
      <w:r/>
      <w:bookmarkEnd w:id="169"/>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170" w:name="RI"/>
      <w:r/>
      <w:bookmarkEnd w:id="170"/>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jc w:val="center"/>
        <w:spacing w:line="520" w:lineRule="exact"/>
        <w:rPr>
          <w:rFonts w:ascii="仿宋_GB2312" w:hAnsi="黑体" w:eastAsia="仿宋_GB2312"/>
          <w:b/>
          <w:sz w:val="28"/>
          <w:szCs w:val="28"/>
        </w:rPr>
      </w:pPr>
      <w:r>
        <w:rPr>
          <w:rFonts w:hint="eastAsia" w:ascii="仿宋_GB2312" w:hAnsi="黑体" w:eastAsia="仿宋_GB2312"/>
          <w:b/>
          <w:sz w:val="28"/>
          <w:szCs w:val="28"/>
        </w:rPr>
        <w:t xml:space="preserve">十、中小企业声明函</w:t>
      </w:r>
      <w:r>
        <w:rPr>
          <w:rFonts w:hint="eastAsia" w:ascii="仿宋" w:hAnsi="仿宋" w:eastAsia="仿宋" w:cs="宋体"/>
          <w:b/>
          <w:color w:val="000000" w:themeColor="text1"/>
          <w:sz w:val="28"/>
          <w:szCs w:val="28"/>
        </w:rPr>
        <w:t xml:space="preserve">（服务）</w:t>
      </w:r>
      <w:r/>
    </w:p>
    <w:p>
      <w:pPr>
        <w:ind w:firstLine="360"/>
        <w:spacing w:line="520" w:lineRule="exact"/>
        <w:rPr>
          <w:rFonts w:ascii="仿宋_GB2312" w:hAnsi="宋体" w:eastAsia="仿宋_GB2312"/>
          <w:sz w:val="28"/>
          <w:szCs w:val="28"/>
        </w:rPr>
      </w:pPr>
      <w:r>
        <w:rPr>
          <w:rFonts w:hint="eastAsia" w:ascii="仿宋_GB2312" w:hAnsi="宋体" w:eastAsia="仿宋_GB2312"/>
          <w:sz w:val="28"/>
          <w:szCs w:val="28"/>
        </w:rPr>
        <w:t xml:space="preserve">本公司（联合体）郑重声明，根据《政府采购促进中小企业发展管理办法》(财库[2020]46号)的规定，本公司（联合体）</w:t>
      </w:r>
      <w:r>
        <w:rPr>
          <w:rFonts w:hint="eastAsia" w:ascii="仿宋_GB2312" w:hAnsi="仿宋_GB2312" w:eastAsia="仿宋_GB2312" w:cs="仿宋_GB2312"/>
          <w:sz w:val="28"/>
          <w:szCs w:val="28"/>
        </w:rPr>
        <w:t xml:space="preserve">参加</w:t>
      </w:r>
      <w:r>
        <w:rPr>
          <w:rFonts w:hint="eastAsia" w:ascii="仿宋_GB2312" w:hAnsi="仿宋_GB2312" w:eastAsia="仿宋_GB2312" w:cs="仿宋_GB2312"/>
          <w:sz w:val="28"/>
          <w:szCs w:val="28"/>
          <w:u w:val="single"/>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w:t>
      </w:r>
      <w:r>
        <w:rPr>
          <w:rFonts w:hint="eastAsia" w:ascii="仿宋_GB2312" w:hAnsi="宋体" w:eastAsia="仿宋_GB2312"/>
          <w:sz w:val="28"/>
          <w:szCs w:val="28"/>
        </w:rPr>
        <w:t xml:space="preserve">服务全部由符合政策要求的中小企业承接。相关企业（含联合体中的中小企业、签订分包意向协议的中小企业）的具体情况如下：</w:t>
      </w:r>
      <w:r/>
    </w:p>
    <w:p>
      <w:pPr>
        <w:pStyle w:val="777"/>
        <w:ind w:firstLine="560"/>
        <w:spacing w:line="560" w:lineRule="exact"/>
        <w:rPr>
          <w:rFonts w:ascii="仿宋_GB2312" w:eastAsia="仿宋_GB2312"/>
          <w:sz w:val="28"/>
          <w:szCs w:val="28"/>
        </w:rPr>
      </w:pPr>
      <w:r>
        <w:rPr>
          <w:rFonts w:hint="eastAsia" w:ascii="仿宋_GB2312" w:eastAsia="仿宋_GB2312"/>
          <w:sz w:val="28"/>
          <w:szCs w:val="28"/>
        </w:rPr>
        <w:t xml:space="preserve">1、</w:t>
      </w:r>
      <w:r>
        <w:rPr>
          <w:rFonts w:hint="eastAsia" w:ascii="仿宋_GB2312" w:eastAsia="仿宋_GB2312"/>
          <w:sz w:val="28"/>
          <w:szCs w:val="28"/>
          <w:u w:val="single"/>
        </w:rPr>
        <w:t xml:space="preserve">（标的名称）</w:t>
      </w:r>
      <w:r>
        <w:rPr>
          <w:rFonts w:hint="eastAsia" w:ascii="仿宋_GB2312" w:eastAsia="仿宋_GB2312"/>
          <w:sz w:val="28"/>
          <w:szCs w:val="28"/>
        </w:rPr>
        <w:t xml:space="preserve">，属于</w:t>
      </w:r>
      <w:r>
        <w:rPr>
          <w:rFonts w:hint="eastAsia" w:ascii="仿宋_GB2312" w:eastAsia="仿宋_GB2312"/>
          <w:sz w:val="28"/>
          <w:szCs w:val="28"/>
          <w:u w:val="single"/>
        </w:rPr>
        <w:t xml:space="preserve">（采购文件中明确的所属行业）</w:t>
      </w:r>
      <w:r>
        <w:rPr>
          <w:rFonts w:hint="eastAsia" w:ascii="仿宋_GB2312" w:eastAsia="仿宋_GB2312"/>
          <w:sz w:val="28"/>
          <w:szCs w:val="28"/>
        </w:rPr>
        <w:t xml:space="preserve">；承接为</w:t>
      </w:r>
      <w:r>
        <w:rPr>
          <w:rFonts w:hint="eastAsia" w:ascii="仿宋_GB2312" w:eastAsia="仿宋_GB2312"/>
          <w:sz w:val="28"/>
          <w:szCs w:val="28"/>
          <w:u w:val="single"/>
        </w:rPr>
        <w:t xml:space="preserve">（企业名称）</w:t>
      </w:r>
      <w:r>
        <w:rPr>
          <w:rFonts w:hint="eastAsia" w:ascii="仿宋_GB2312" w:eastAsia="仿宋_GB2312"/>
          <w:sz w:val="28"/>
          <w:szCs w:val="28"/>
        </w:rPr>
        <w:t xml:space="preserve">，从业人员</w:t>
      </w:r>
      <w:r>
        <w:rPr>
          <w:rFonts w:hint="eastAsia" w:ascii="仿宋_GB2312" w:eastAsia="仿宋_GB2312"/>
          <w:sz w:val="28"/>
          <w:szCs w:val="28"/>
          <w:u w:val="single"/>
        </w:rPr>
        <w:t xml:space="preserve"> </w:t>
      </w:r>
      <w:r>
        <w:rPr>
          <w:rFonts w:hint="eastAsia" w:ascii="仿宋_GB2312" w:eastAsia="仿宋_GB2312"/>
          <w:sz w:val="28"/>
          <w:szCs w:val="28"/>
          <w:u w:val="single"/>
        </w:rPr>
        <w:tab/>
        <w:t xml:space="preserve"> </w:t>
      </w:r>
      <w:r>
        <w:rPr>
          <w:rFonts w:hint="eastAsia" w:ascii="仿宋_GB2312" w:eastAsia="仿宋_GB2312"/>
          <w:sz w:val="28"/>
          <w:szCs w:val="28"/>
        </w:rPr>
        <w:t xml:space="preserve">人，营业收入为</w:t>
      </w:r>
      <w:r>
        <w:rPr>
          <w:rFonts w:hint="eastAsia" w:ascii="仿宋_GB2312" w:eastAsia="仿宋_GB2312"/>
          <w:sz w:val="28"/>
          <w:szCs w:val="28"/>
          <w:u w:val="single"/>
        </w:rPr>
        <w:t xml:space="preserve">    </w:t>
      </w:r>
      <w:r>
        <w:rPr>
          <w:rFonts w:hint="eastAsia" w:ascii="仿宋_GB2312" w:eastAsia="仿宋_GB2312"/>
          <w:sz w:val="28"/>
          <w:szCs w:val="28"/>
        </w:rPr>
        <w:tab/>
        <w:t xml:space="preserve">万元，资产总额为 </w:t>
      </w:r>
      <w:r>
        <w:rPr>
          <w:rFonts w:hint="eastAsia" w:ascii="仿宋_GB2312" w:eastAsia="仿宋_GB2312"/>
          <w:sz w:val="28"/>
          <w:szCs w:val="28"/>
          <w:u w:val="single"/>
        </w:rPr>
        <w:t xml:space="preserve">    </w:t>
      </w:r>
      <w:r>
        <w:rPr>
          <w:rFonts w:hint="eastAsia" w:ascii="仿宋_GB2312" w:eastAsia="仿宋_GB2312"/>
          <w:sz w:val="28"/>
          <w:szCs w:val="28"/>
        </w:rPr>
        <w:t xml:space="preserve">万元，属于</w:t>
      </w:r>
      <w:r>
        <w:rPr>
          <w:rFonts w:hint="eastAsia" w:ascii="仿宋_GB2312" w:eastAsia="仿宋_GB2312"/>
          <w:sz w:val="28"/>
          <w:szCs w:val="28"/>
          <w:u w:val="single"/>
        </w:rPr>
        <w:t xml:space="preserve">（中型企业、小型企业、微型企业）</w:t>
      </w:r>
      <w:r>
        <w:rPr>
          <w:rFonts w:hint="eastAsia" w:ascii="仿宋_GB2312" w:eastAsia="仿宋_GB2312"/>
          <w:sz w:val="28"/>
          <w:szCs w:val="28"/>
        </w:rPr>
        <w:t xml:space="preserve">；</w:t>
      </w:r>
      <w:r/>
    </w:p>
    <w:p>
      <w:pPr>
        <w:ind w:firstLine="360"/>
        <w:spacing w:line="520" w:lineRule="exact"/>
        <w:rPr>
          <w:rFonts w:ascii="仿宋_GB2312" w:hAnsi="宋体" w:eastAsia="仿宋_GB2312"/>
          <w:sz w:val="28"/>
          <w:szCs w:val="28"/>
        </w:rPr>
      </w:pPr>
      <w:r>
        <w:rPr>
          <w:rFonts w:hint="eastAsia" w:ascii="仿宋_GB2312" w:hAnsi="宋体" w:eastAsia="仿宋_GB2312"/>
          <w:sz w:val="28"/>
          <w:szCs w:val="28"/>
        </w:rPr>
        <w:t xml:space="preserve">……</w:t>
      </w:r>
      <w:r/>
    </w:p>
    <w:p>
      <w:pPr>
        <w:ind w:firstLine="360"/>
        <w:spacing w:line="520" w:lineRule="exact"/>
        <w:rPr>
          <w:rFonts w:ascii="仿宋_GB2312" w:hAnsi="宋体" w:eastAsia="仿宋_GB2312"/>
          <w:sz w:val="28"/>
          <w:szCs w:val="28"/>
        </w:rPr>
      </w:pPr>
      <w:r>
        <w:rPr>
          <w:rFonts w:hint="eastAsia" w:ascii="仿宋_GB2312" w:hAnsi="宋体" w:eastAsia="仿宋_GB2312"/>
          <w:sz w:val="28"/>
          <w:szCs w:val="28"/>
        </w:rPr>
        <w:t xml:space="preserve">以上企业，不属于大企业的分支机构，不存在控股股东为大企业的情形，也不存在与大企业的负责人为同一人的情形。</w:t>
      </w:r>
      <w:r/>
    </w:p>
    <w:p>
      <w:pPr>
        <w:ind w:firstLine="360"/>
        <w:spacing w:line="520" w:lineRule="exact"/>
        <w:rPr>
          <w:rFonts w:ascii="仿宋_GB2312" w:hAnsi="宋体" w:eastAsia="仿宋_GB2312"/>
          <w:sz w:val="28"/>
          <w:szCs w:val="28"/>
        </w:rPr>
      </w:pPr>
      <w:r>
        <w:rPr>
          <w:rFonts w:hint="eastAsia" w:ascii="仿宋_GB2312" w:hAnsi="宋体" w:eastAsia="仿宋_GB2312"/>
          <w:sz w:val="28"/>
          <w:szCs w:val="28"/>
        </w:rPr>
        <w:t xml:space="preserve">本企业对上述声明内容的真实性负责。如有虚假，将依法承担相应责任</w:t>
      </w:r>
      <w:r/>
    </w:p>
    <w:p>
      <w:pPr>
        <w:ind w:right="720"/>
        <w:spacing w:line="520" w:lineRule="exact"/>
        <w:rPr>
          <w:rFonts w:ascii="仿宋_GB2312" w:hAnsi="宋体" w:eastAsia="仿宋_GB2312"/>
          <w:sz w:val="28"/>
          <w:szCs w:val="28"/>
        </w:rPr>
      </w:pPr>
      <w:r>
        <w:rPr>
          <w:rFonts w:ascii="仿宋_GB2312" w:hAnsi="宋体" w:eastAsia="仿宋_GB2312"/>
          <w:sz w:val="28"/>
          <w:szCs w:val="28"/>
        </w:rPr>
      </w:r>
      <w:r/>
    </w:p>
    <w:p>
      <w:pPr>
        <w:ind w:right="180" w:firstLine="360"/>
        <w:jc w:val="right"/>
        <w:spacing w:line="520" w:lineRule="exact"/>
        <w:rPr>
          <w:rFonts w:ascii="仿宋_GB2312" w:hAnsi="宋体" w:eastAsia="仿宋_GB2312"/>
          <w:sz w:val="28"/>
          <w:szCs w:val="28"/>
        </w:rPr>
      </w:pPr>
      <w:r>
        <w:rPr>
          <w:rFonts w:hint="eastAsia" w:ascii="仿宋_GB2312" w:hAnsi="宋体" w:eastAsia="仿宋_GB2312"/>
          <w:sz w:val="28"/>
          <w:szCs w:val="28"/>
        </w:rPr>
        <w:t xml:space="preserve">企业名称（加盖CA电子公章）：</w:t>
      </w:r>
      <w:r/>
    </w:p>
    <w:p>
      <w:pPr>
        <w:ind w:right="480" w:firstLine="5400"/>
        <w:spacing w:line="520" w:lineRule="exact"/>
        <w:rPr>
          <w:rFonts w:ascii="仿宋_GB2312" w:hAnsi="宋体" w:eastAsia="仿宋_GB2312"/>
          <w:sz w:val="28"/>
          <w:szCs w:val="28"/>
        </w:rPr>
      </w:pPr>
      <w:r>
        <w:rPr>
          <w:rFonts w:hint="eastAsia" w:ascii="仿宋_GB2312" w:hAnsi="宋体" w:eastAsia="仿宋_GB2312"/>
          <w:sz w:val="28"/>
          <w:szCs w:val="28"/>
        </w:rPr>
        <w:t xml:space="preserve">日  期：</w:t>
      </w:r>
      <w:r/>
    </w:p>
    <w:p>
      <w:pPr>
        <w:ind w:firstLine="360"/>
        <w:spacing w:line="520" w:lineRule="exact"/>
        <w:rPr>
          <w:rFonts w:ascii="仿宋_GB2312" w:hAnsi="宋体" w:eastAsia="仿宋_GB2312"/>
          <w:sz w:val="28"/>
          <w:szCs w:val="28"/>
        </w:rPr>
      </w:pPr>
      <w:r>
        <w:rPr>
          <w:rFonts w:ascii="仿宋_GB2312" w:hAnsi="宋体" w:eastAsia="仿宋_GB2312"/>
          <w:sz w:val="28"/>
          <w:szCs w:val="28"/>
        </w:rPr>
      </w:r>
      <w:r/>
    </w:p>
    <w:p>
      <w:pPr>
        <w:ind w:firstLine="480"/>
        <w:spacing w:line="520" w:lineRule="exact"/>
        <w:rPr>
          <w:rFonts w:ascii="仿宋_GB2312" w:hAnsi="宋体" w:eastAsia="仿宋_GB2312"/>
          <w:sz w:val="28"/>
          <w:szCs w:val="28"/>
        </w:rPr>
      </w:pPr>
      <w:r>
        <w:rPr>
          <w:rFonts w:hint="eastAsia" w:ascii="仿宋_GB2312" w:hAnsi="宋体" w:eastAsia="仿宋_GB2312"/>
          <w:sz w:val="28"/>
          <w:szCs w:val="28"/>
        </w:rPr>
        <w:t xml:space="preserve">备注1：从业人员、营业收入、资产总额填报上一年度数据，无上</w:t>
      </w:r>
      <w:r>
        <w:rPr>
          <w:rFonts w:hint="eastAsia" w:ascii="仿宋_GB2312" w:hAnsi="宋体" w:eastAsia="仿宋_GB2312"/>
          <w:sz w:val="28"/>
          <w:szCs w:val="28"/>
        </w:rPr>
        <w:t xml:space="preserve">一</w:t>
      </w:r>
      <w:r>
        <w:rPr>
          <w:rFonts w:hint="eastAsia" w:ascii="仿宋_GB2312" w:hAnsi="宋体" w:eastAsia="仿宋_GB2312"/>
          <w:sz w:val="28"/>
          <w:szCs w:val="28"/>
        </w:rPr>
        <w:t xml:space="preserve">年度数据的新成立企业可不填报。</w:t>
      </w:r>
      <w:r/>
    </w:p>
    <w:p>
      <w:pPr>
        <w:ind w:firstLine="480"/>
        <w:spacing w:line="520" w:lineRule="exact"/>
        <w:rPr>
          <w:rFonts w:ascii="仿宋_GB2312" w:hAnsi="宋体" w:eastAsia="仿宋_GB2312"/>
          <w:sz w:val="28"/>
          <w:szCs w:val="28"/>
        </w:rPr>
      </w:pPr>
      <w:r>
        <w:rPr>
          <w:rFonts w:hint="eastAsia" w:ascii="仿宋_GB2312" w:hAnsi="宋体" w:eastAsia="仿宋_GB2312"/>
          <w:sz w:val="28"/>
          <w:szCs w:val="28"/>
        </w:rPr>
        <w:t xml:space="preserve">备注2：供应商如不提供此声明函，价格将不做相应扣除。</w:t>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十一、残疾人福利性单位声明函</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w:t>
      </w:r>
      <w:r>
        <w:rPr>
          <w:rFonts w:hint="eastAsia" w:ascii="仿宋_GB2312" w:hAnsi="仿宋_GB2312" w:eastAsia="仿宋_GB2312" w:cs="仿宋_GB2312"/>
          <w:sz w:val="28"/>
          <w:szCs w:val="28"/>
        </w:rPr>
        <w:t xml:space="preserve">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（备注：1、供应商如不提供此声明函，价格将不做相应扣除。2、成交供应商为残疾人福利单位的，此</w:t>
      </w:r>
      <w:r>
        <w:rPr>
          <w:rFonts w:hint="eastAsia" w:ascii="仿宋_GB2312" w:hAnsi="仿宋_GB2312" w:eastAsia="仿宋_GB2312" w:cs="仿宋_GB2312"/>
          <w:sz w:val="28"/>
          <w:szCs w:val="28"/>
        </w:rPr>
        <w:t xml:space="preserve">声明函将随</w:t>
      </w:r>
      <w:r>
        <w:rPr>
          <w:rFonts w:hint="eastAsia" w:ascii="仿宋_GB2312" w:hAnsi="仿宋_GB2312" w:eastAsia="仿宋_GB2312" w:cs="仿宋_GB2312"/>
          <w:sz w:val="28"/>
          <w:szCs w:val="28"/>
        </w:rPr>
        <w:t xml:space="preserve">成交结果同时公告，接受社会监督）</w:t>
      </w:r>
      <w:r/>
    </w:p>
    <w:p>
      <w:pPr>
        <w:ind w:firstLine="584"/>
        <w:spacing w:line="520" w:lineRule="exact"/>
        <w:rPr>
          <w:rFonts w:ascii="仿宋_GB2312" w:hAnsi="仿宋_GB2312" w:eastAsia="仿宋_GB2312" w:cs="仿宋_GB2312"/>
          <w:spacing w:val="6"/>
          <w:sz w:val="28"/>
          <w:szCs w:val="28"/>
        </w:rPr>
      </w:pPr>
      <w:r>
        <w:rPr>
          <w:rFonts w:ascii="仿宋_GB2312" w:hAnsi="仿宋_GB2312" w:eastAsia="仿宋_GB2312" w:cs="仿宋_GB2312"/>
          <w:spacing w:val="6"/>
          <w:sz w:val="28"/>
          <w:szCs w:val="28"/>
        </w:rPr>
      </w:r>
      <w:r/>
    </w:p>
    <w:p>
      <w:pPr>
        <w:ind w:firstLine="584"/>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firstLine="560"/>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  期：</w:t>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十二、</w:t>
      </w:r>
      <w:bookmarkStart w:id="171" w:name="_Hlk76057113"/>
      <w:r>
        <w:rPr>
          <w:rFonts w:hint="eastAsia" w:ascii="黑体" w:hAnsi="黑体" w:eastAsia="黑体" w:cs="黑体"/>
          <w:bCs/>
          <w:i/>
          <w:iCs/>
          <w:sz w:val="28"/>
          <w:szCs w:val="28"/>
          <w:u w:val="single"/>
        </w:rPr>
        <w:t xml:space="preserve">分项报价表（服务）</w:t>
      </w:r>
      <w:r/>
    </w:p>
    <w:p>
      <w:pP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tbl>
      <w:tblPr>
        <w:tblW w:w="79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4"/>
        <w:gridCol w:w="2972"/>
        <w:gridCol w:w="2428"/>
        <w:gridCol w:w="1732"/>
      </w:tblGrid>
      <w:tr>
        <w:trPr>
          <w:cantSplit/>
        </w:trPr>
        <w:tc>
          <w:tcPr>
            <w:tcW w:w="864"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序号</w:t>
            </w:r>
            <w:r/>
          </w:p>
        </w:tc>
        <w:tc>
          <w:tcPr>
            <w:tcW w:w="2972"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b/>
                <w:bCs/>
                <w:sz w:val="28"/>
                <w:szCs w:val="28"/>
                <w:lang w:val="zh-CN"/>
              </w:rPr>
              <w:t xml:space="preserve">费用名称</w:t>
            </w:r>
            <w:r/>
          </w:p>
        </w:tc>
        <w:tc>
          <w:tcPr>
            <w:tcW w:w="2428"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b/>
                <w:bCs/>
                <w:sz w:val="28"/>
                <w:szCs w:val="28"/>
                <w:lang w:val="zh-CN"/>
              </w:rPr>
              <w:t xml:space="preserve">价格构成</w:t>
            </w:r>
            <w:r/>
          </w:p>
        </w:tc>
        <w:tc>
          <w:tcPr>
            <w:tcW w:w="1732"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b/>
                <w:bCs/>
                <w:sz w:val="28"/>
                <w:szCs w:val="28"/>
                <w:lang w:val="zh-CN"/>
              </w:rPr>
              <w:t xml:space="preserve">有关说明</w:t>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 </w:t>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 </w:t>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w:t>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w:t>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w:t>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w:t>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bl>
    <w:p>
      <w:pP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注：1、以上表格中各项可进一步细分，行数</w:t>
      </w:r>
      <w:r>
        <w:rPr>
          <w:rFonts w:hint="eastAsia" w:ascii="仿宋_GB2312" w:hAnsi="仿宋_GB2312" w:eastAsia="仿宋_GB2312" w:cs="仿宋_GB2312"/>
          <w:sz w:val="28"/>
          <w:szCs w:val="28"/>
        </w:rPr>
        <w:t xml:space="preserve">不够可</w:t>
      </w:r>
      <w:r>
        <w:rPr>
          <w:rFonts w:hint="eastAsia" w:ascii="仿宋_GB2312" w:hAnsi="仿宋_GB2312" w:eastAsia="仿宋_GB2312" w:cs="仿宋_GB2312"/>
          <w:sz w:val="28"/>
          <w:szCs w:val="28"/>
        </w:rPr>
        <w:t xml:space="preserve">自加，应包括为完成本项目各项服务可能发生的全部费用及响应人的利润和应交纳的税金等（包括人员工资、《劳动合同法》及相关法律法规规定的各种社会保险费、工具、办公费等其他费用）详细列出。响应人对合同内容的费用、质量、文明服务等实行全面承包等所涉及的一切费用。</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2、响应人在报价中如包含对本项目的让利或优惠，需在具体费用栏目中填报让利或优惠后的价格，不得单列。否则，</w:t>
      </w:r>
      <w:r>
        <w:rPr>
          <w:rFonts w:hint="eastAsia" w:ascii="仿宋_GB2312" w:hAnsi="仿宋_GB2312" w:eastAsia="仿宋_GB2312" w:cs="仿宋_GB2312"/>
          <w:sz w:val="28"/>
          <w:szCs w:val="28"/>
        </w:rPr>
        <w:t xml:space="preserve">导致磋商</w:t>
      </w:r>
      <w:r>
        <w:rPr>
          <w:rFonts w:hint="eastAsia" w:ascii="仿宋_GB2312" w:hAnsi="仿宋_GB2312" w:eastAsia="仿宋_GB2312" w:cs="仿宋_GB2312"/>
          <w:sz w:val="28"/>
          <w:szCs w:val="28"/>
        </w:rPr>
        <w:t xml:space="preserve">小组无法评审响应人报价时，磋商小组有权</w:t>
      </w:r>
      <w:r>
        <w:rPr>
          <w:rFonts w:hint="eastAsia" w:ascii="仿宋_GB2312" w:hAnsi="仿宋_GB2312" w:eastAsia="仿宋_GB2312" w:cs="仿宋_GB2312"/>
          <w:sz w:val="28"/>
          <w:szCs w:val="28"/>
        </w:rPr>
        <w:t xml:space="preserve">作出</w:t>
      </w:r>
      <w:r>
        <w:rPr>
          <w:rFonts w:hint="eastAsia" w:ascii="仿宋_GB2312" w:hAnsi="仿宋_GB2312" w:eastAsia="仿宋_GB2312" w:cs="仿宋_GB2312"/>
          <w:sz w:val="28"/>
          <w:szCs w:val="28"/>
        </w:rPr>
        <w:t xml:space="preserve">不利于其的评判。</w:t>
      </w:r>
      <w:bookmarkEnd w:id="171"/>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十三、技术要求响应及偏离表</w:t>
      </w:r>
      <w:r/>
    </w:p>
    <w:p>
      <w:pP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4"/>
        <w:gridCol w:w="2972"/>
        <w:gridCol w:w="2428"/>
        <w:gridCol w:w="1732"/>
        <w:gridCol w:w="1173"/>
      </w:tblGrid>
      <w:tr>
        <w:trPr>
          <w:cantSplit/>
        </w:trPr>
        <w:tc>
          <w:tcPr>
            <w:tcW w:w="864"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序号</w:t>
            </w:r>
            <w:r/>
          </w:p>
        </w:tc>
        <w:tc>
          <w:tcPr>
            <w:tcW w:w="2972"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磋商文件要求</w:t>
            </w:r>
            <w:r/>
          </w:p>
        </w:tc>
        <w:tc>
          <w:tcPr>
            <w:tcW w:w="2428"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响应情况</w:t>
            </w:r>
            <w:r/>
          </w:p>
        </w:tc>
        <w:tc>
          <w:tcPr>
            <w:tcW w:w="1732"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超出、符合或偏离</w:t>
            </w:r>
            <w:r/>
          </w:p>
        </w:tc>
        <w:tc>
          <w:tcPr>
            <w:tcW w:w="1173"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证明</w:t>
            </w:r>
            <w:r/>
          </w:p>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材料</w:t>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64"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72"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tc>
        <w:tc>
          <w:tcPr>
            <w:tcW w:w="242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73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bl>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注： 行数不够，可自行添加。</w:t>
      </w:r>
      <w:bookmarkEnd w:id="158"/>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rPr>
          <w:rFonts w:ascii="仿宋_GB2312" w:hAnsi="仿宋_GB2312" w:eastAsia="仿宋_GB2312" w:cs="仿宋_GB2312"/>
          <w:b/>
          <w:sz w:val="28"/>
          <w:szCs w:val="28"/>
        </w:rPr>
      </w:pPr>
      <w:r/>
      <w:bookmarkStart w:id="172" w:name="_Hlt26955054"/>
      <w:r/>
      <w:bookmarkEnd w:id="172"/>
      <w:r>
        <w:rPr>
          <w:rFonts w:hint="eastAsia" w:ascii="仿宋_GB2312" w:hAnsi="仿宋_GB2312" w:eastAsia="仿宋_GB2312" w:cs="仿宋_GB2312"/>
          <w:b/>
          <w:sz w:val="28"/>
          <w:szCs w:val="28"/>
        </w:rPr>
        <w:br w:type="page" w:clear="all"/>
      </w:r>
      <w:r/>
    </w:p>
    <w:p>
      <w:pP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十四、商务要求响应及偏离表</w:t>
      </w:r>
      <w:r/>
    </w:p>
    <w:p>
      <w:pPr>
        <w:spacing w:line="520" w:lineRule="exact"/>
        <w:rPr>
          <w:rFonts w:ascii="黑体" w:hAnsi="黑体" w:eastAsia="黑体" w:cs="黑体"/>
          <w:bCs/>
          <w:i/>
          <w:iCs/>
          <w:sz w:val="28"/>
          <w:szCs w:val="28"/>
          <w:u w:val="single"/>
        </w:rPr>
      </w:pPr>
      <w:r>
        <w:rPr>
          <w:rFonts w:ascii="黑体" w:hAnsi="黑体" w:eastAsia="黑体" w:cs="黑体"/>
          <w:bCs/>
          <w:i/>
          <w:iCs/>
          <w:sz w:val="28"/>
          <w:szCs w:val="28"/>
          <w:u w:val="single"/>
        </w:rPr>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7"/>
        <w:gridCol w:w="2989"/>
        <w:gridCol w:w="2542"/>
        <w:gridCol w:w="1618"/>
        <w:gridCol w:w="1173"/>
      </w:tblGrid>
      <w:tr>
        <w:trPr>
          <w:cantSplit/>
        </w:trPr>
        <w:tc>
          <w:tcPr>
            <w:tcW w:w="847" w:type="dxa"/>
            <w:vAlign w:val="center"/>
            <w:textDirection w:val="lrTb"/>
            <w:noWrap w:val="false"/>
          </w:tcPr>
          <w:p>
            <w:pPr>
              <w:jc w:val="center"/>
              <w:spacing w:line="520" w:lineRule="exact"/>
              <w:rPr>
                <w:rFonts w:ascii="仿宋_GB2312" w:hAnsi="仿宋_GB2312" w:eastAsia="仿宋_GB2312" w:cs="仿宋_GB2312"/>
                <w:sz w:val="28"/>
                <w:szCs w:val="28"/>
              </w:rPr>
            </w:pPr>
            <w:r/>
            <w:bookmarkStart w:id="173" w:name="_Hlt26671372"/>
            <w:r/>
            <w:bookmarkStart w:id="174" w:name="_Hlt26580838"/>
            <w:r/>
            <w:bookmarkStart w:id="175" w:name="_Hlt26782999"/>
            <w:r/>
            <w:bookmarkStart w:id="176" w:name="_Hlt26609391"/>
            <w:r/>
            <w:bookmarkStart w:id="177" w:name="_Hlt26671343"/>
            <w:r/>
            <w:bookmarkStart w:id="178" w:name="_Hlt24879081"/>
            <w:r/>
            <w:bookmarkStart w:id="179" w:name="_Hlt26955056"/>
            <w:r/>
            <w:bookmarkStart w:id="180" w:name="_Hlt26955064"/>
            <w:r/>
            <w:bookmarkEnd w:id="173"/>
            <w:r/>
            <w:bookmarkEnd w:id="174"/>
            <w:r/>
            <w:bookmarkEnd w:id="175"/>
            <w:r/>
            <w:bookmarkEnd w:id="176"/>
            <w:r/>
            <w:bookmarkEnd w:id="177"/>
            <w:r/>
            <w:bookmarkEnd w:id="178"/>
            <w:r/>
            <w:bookmarkEnd w:id="179"/>
            <w:r/>
            <w:bookmarkEnd w:id="180"/>
            <w:r>
              <w:rPr>
                <w:rFonts w:hint="eastAsia" w:ascii="仿宋_GB2312" w:hAnsi="仿宋_GB2312" w:eastAsia="仿宋_GB2312" w:cs="仿宋_GB2312"/>
                <w:sz w:val="28"/>
                <w:szCs w:val="28"/>
              </w:rPr>
              <w:t xml:space="preserve">序号</w:t>
            </w:r>
            <w:r/>
          </w:p>
        </w:tc>
        <w:tc>
          <w:tcPr>
            <w:tcW w:w="2989"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磋商文件要求</w:t>
            </w:r>
            <w:r/>
          </w:p>
        </w:tc>
        <w:tc>
          <w:tcPr>
            <w:tcW w:w="2542"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响应情况</w:t>
            </w:r>
            <w:r/>
          </w:p>
        </w:tc>
        <w:tc>
          <w:tcPr>
            <w:tcW w:w="1618"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超出、符合或偏离</w:t>
            </w:r>
            <w:r/>
          </w:p>
        </w:tc>
        <w:tc>
          <w:tcPr>
            <w:tcW w:w="1173"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证明</w:t>
            </w:r>
            <w:r/>
          </w:p>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材料</w:t>
            </w:r>
            <w:r/>
          </w:p>
        </w:tc>
      </w:tr>
      <w:tr>
        <w:trPr>
          <w:cantSplit/>
          <w:trHeight w:val="640"/>
        </w:trPr>
        <w:tc>
          <w:tcPr>
            <w:tcW w:w="847"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89"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54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61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47"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89"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54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61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47"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89"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54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61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47"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89"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54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61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47"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89"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54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61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r>
        <w:trPr>
          <w:cantSplit/>
          <w:trHeight w:val="640"/>
        </w:trPr>
        <w:tc>
          <w:tcPr>
            <w:tcW w:w="847"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2989" w:type="dxa"/>
            <w:textDirection w:val="lrTb"/>
            <w:noWrap w:val="false"/>
          </w:tcPr>
          <w:p>
            <w:pPr>
              <w:jc w:val="cente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tc>
        <w:tc>
          <w:tcPr>
            <w:tcW w:w="2542"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618"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c>
          <w:tcPr>
            <w:tcW w:w="1173" w:type="dxa"/>
            <w:textDirection w:val="lrTb"/>
            <w:noWrap w:val="false"/>
          </w:tcPr>
          <w:p>
            <w:pPr>
              <w:jc w:val="cente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c>
      </w:tr>
    </w:tbl>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注： 行数不够，可自行添加。</w:t>
      </w:r>
      <w:bookmarkEnd w:id="144"/>
      <w:r/>
      <w:bookmarkEnd w:id="145"/>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b/>
          <w:bCs/>
          <w:sz w:val="28"/>
          <w:szCs w:val="28"/>
        </w:rPr>
      </w:pPr>
      <w:r/>
      <w:bookmarkStart w:id="181" w:name="_Hlt26609389"/>
      <w:r/>
      <w:bookmarkStart w:id="182" w:name="_Hlt26955066"/>
      <w:r/>
      <w:bookmarkStart w:id="183" w:name="_格式2__法定代表人授权书"/>
      <w:r/>
      <w:bookmarkStart w:id="184" w:name="_Hlt26671374"/>
      <w:r/>
      <w:bookmarkEnd w:id="181"/>
      <w:r/>
      <w:bookmarkEnd w:id="182"/>
      <w:r/>
      <w:bookmarkEnd w:id="183"/>
      <w:r/>
      <w:bookmarkEnd w:id="184"/>
      <w:r>
        <w:rPr>
          <w:rFonts w:hint="eastAsia" w:ascii="仿宋_GB2312" w:hAnsi="仿宋_GB2312" w:eastAsia="仿宋_GB2312" w:cs="仿宋_GB2312"/>
          <w:b/>
          <w:bCs/>
          <w:sz w:val="28"/>
          <w:szCs w:val="28"/>
        </w:rPr>
        <w:br w:type="page" w:clear="all"/>
      </w:r>
      <w:r/>
    </w:p>
    <w:p>
      <w:pPr>
        <w:ind w:firstLine="720"/>
        <w:jc w:val="center"/>
        <w:spacing w:line="520" w:lineRule="exact"/>
        <w:rPr>
          <w:rFonts w:ascii="黑体" w:hAnsi="黑体" w:eastAsia="黑体" w:cs="黑体"/>
          <w:sz w:val="36"/>
          <w:szCs w:val="36"/>
        </w:rPr>
      </w:pPr>
      <w:r>
        <w:rPr>
          <w:rFonts w:hint="eastAsia" w:ascii="黑体" w:hAnsi="黑体" w:eastAsia="黑体" w:cs="黑体"/>
          <w:sz w:val="36"/>
          <w:szCs w:val="36"/>
        </w:rPr>
        <w:t xml:space="preserve">质疑函范本</w:t>
      </w:r>
      <w:r/>
    </w:p>
    <w:p>
      <w:pPr>
        <w:ind w:firstLine="720"/>
        <w:jc w:val="center"/>
        <w:spacing w:line="520" w:lineRule="exact"/>
        <w:rPr>
          <w:rFonts w:ascii="黑体" w:hAnsi="黑体" w:eastAsia="黑体" w:cs="黑体"/>
          <w:sz w:val="36"/>
          <w:szCs w:val="36"/>
        </w:rPr>
      </w:pPr>
      <w:r>
        <w:rPr>
          <w:rFonts w:ascii="黑体" w:hAnsi="黑体" w:eastAsia="黑体" w:cs="黑体"/>
          <w:sz w:val="36"/>
          <w:szCs w:val="36"/>
        </w:rPr>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w:t>
      </w:r>
      <w:r>
        <w:rPr>
          <w:rFonts w:hint="eastAsia" w:ascii="仿宋_GB2312" w:hAnsi="仿宋_GB2312" w:eastAsia="仿宋_GB2312" w:cs="仿宋_GB2312"/>
          <w:sz w:val="28"/>
          <w:szCs w:val="28"/>
        </w:rPr>
        <w:t xml:space="preserve">质疑函应按</w:t>
      </w:r>
      <w:r>
        <w:rPr>
          <w:rFonts w:hint="eastAsia" w:ascii="仿宋_GB2312" w:hAnsi="仿宋_GB2312" w:eastAsia="仿宋_GB2312" w:cs="仿宋_GB2312"/>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w:t>
      </w:r>
      <w:r>
        <w:rPr>
          <w:rFonts w:hint="eastAsia" w:ascii="仿宋_GB2312" w:hAnsi="仿宋_GB2312" w:eastAsia="仿宋_GB2312" w:cs="仿宋_GB2312"/>
          <w:sz w:val="28"/>
          <w:szCs w:val="28"/>
        </w:rPr>
        <w:t xml:space="preserve">质疑函应由</w:t>
      </w:r>
      <w:r>
        <w:rPr>
          <w:rFonts w:hint="eastAsia" w:ascii="仿宋_GB2312" w:hAnsi="仿宋_GB2312" w:eastAsia="仿宋_GB2312" w:cs="仿宋_GB2312"/>
          <w:sz w:val="28"/>
          <w:szCs w:val="28"/>
        </w:rPr>
        <w:t xml:space="preserve">本人签字；质疑供应商为法人或者其他组织的，</w:t>
      </w:r>
      <w:r>
        <w:rPr>
          <w:rFonts w:hint="eastAsia" w:ascii="仿宋_GB2312" w:hAnsi="仿宋_GB2312" w:eastAsia="仿宋_GB2312" w:cs="仿宋_GB2312"/>
          <w:sz w:val="28"/>
          <w:szCs w:val="28"/>
        </w:rPr>
        <w:t xml:space="preserve">质疑函应由</w:t>
      </w:r>
      <w:r>
        <w:rPr>
          <w:rFonts w:hint="eastAsia" w:ascii="仿宋_GB2312" w:hAnsi="仿宋_GB2312" w:eastAsia="仿宋_GB2312" w:cs="仿宋_GB2312"/>
          <w:sz w:val="28"/>
          <w:szCs w:val="28"/>
        </w:rPr>
        <w:t xml:space="preserve">法定代表人、主要负责人，或者其授权代表签字或者盖章，并加盖公章。</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sectPr>
      <w:headerReference w:type="first" r:id="rId10"/>
      <w:footnotePr/>
      <w:endnotePr/>
      <w:type w:val="nextPage"/>
      <w:pgSz w:w="11906" w:h="16838" w:orient="portrait"/>
      <w:pgMar w:top="1417" w:right="1474" w:bottom="1134" w:left="1474"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Courier">
    <w:panose1 w:val="02070309020205020404"/>
  </w:font>
  <w:font w:name="方正楷体_GBK">
    <w:panose1 w:val="020B0503020202020204"/>
  </w:font>
  <w:font w:name="等线">
    <w:panose1 w:val="02010600030101010101"/>
  </w:font>
  <w:font w:name="仿宋">
    <w:panose1 w:val="02010609060101010101"/>
  </w:font>
  <w:font w:name="TimesNewRoman">
    <w:panose1 w:val="02020603050405020304"/>
  </w:font>
  <w:font w:name="方正黑体_GBK">
    <w:panose1 w:val="020B0503020202020204"/>
  </w:font>
  <w:font w:name="Tahoma">
    <w:panose1 w:val="020B0604030504040204"/>
  </w:font>
  <w:font w:name="Symbol">
    <w:panose1 w:val="05050102010706020507"/>
  </w:font>
  <w:font w:name="文鼎小标宋">
    <w:panose1 w:val="020B0503020202020204"/>
  </w:font>
  <w:font w:name="Wingdings">
    <w:panose1 w:val="05000000000000000000"/>
  </w:font>
  <w:font w:name="Century Schoolbook">
    <w:panose1 w:val="02040604050505020304"/>
  </w:font>
  <w:font w:name="Dialog">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Microsoft New Tai Lue">
    <w:panose1 w:val="020B0502040204020203"/>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2512695</wp:posOffset>
              </wp:positionH>
              <wp:positionV relativeFrom="paragraph">
                <wp:posOffset>76200</wp:posOffset>
              </wp:positionV>
              <wp:extent cx="640715" cy="3302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640715" cy="330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jc w:val="center"/>
                          </w:pPr>
                          <w:r>
                            <w:t xml:space="preserve">— </w:t>
                          </w:r>
                          <w:r>
                            <w:fldChar w:fldCharType="begin"/>
                          </w:r>
                          <w:r>
                            <w:instrText xml:space="preserve"> PAGE  \* MERGEFORMAT </w:instrText>
                          </w:r>
                          <w:r>
                            <w:fldChar w:fldCharType="separate"/>
                          </w:r>
                          <w:r>
                            <w:t xml:space="preserve">51</w:t>
                          </w:r>
                          <w:r>
                            <w:fldChar w:fldCharType="end"/>
                          </w:r>
                          <w:r>
                            <w:t xml:space="preserve"> —</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197.8pt;mso-position-horizontal:absolute;mso-position-vertical-relative:text;margin-top:6.0pt;mso-position-vertical:absolute;width:50.4pt;height:26.0pt;mso-wrap-distance-left:9.0pt;mso-wrap-distance-top:0.0pt;mso-wrap-distance-right:9.0pt;mso-wrap-distance-bottom:0.0pt;v-text-anchor:top;visibility:visible;" filled="f" stroked="f" strokeweight="0.50pt">
              <v:textbox inset="0,0,0,0">
                <w:txbxContent>
                  <w:p>
                    <w:pPr>
                      <w:pStyle w:val="765"/>
                      <w:jc w:val="center"/>
                    </w:pPr>
                    <w:r>
                      <w:t xml:space="preserve">— </w:t>
                    </w:r>
                    <w:r>
                      <w:fldChar w:fldCharType="begin"/>
                    </w:r>
                    <w:r>
                      <w:instrText xml:space="preserve"> PAGE  \* MERGEFORMAT </w:instrText>
                    </w:r>
                    <w:r>
                      <w:fldChar w:fldCharType="separate"/>
                    </w:r>
                    <w:r>
                      <w:t xml:space="preserve">51</w:t>
                    </w:r>
                    <w:r>
                      <w:fldChar w:fldCharType="end"/>
                    </w:r>
                    <w:r>
                      <w:t xml:space="preserve"> —</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10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0"/>
      <w:isLgl w:val="false"/>
      <w:suff w:val="nothing"/>
      <w:lvlText w:val=""/>
      <w:lvlJc w:val="left"/>
      <w:pPr>
        <w:ind w:left="0" w:firstLine="0"/>
      </w:pPr>
      <w:rPr>
        <w:rFonts w:hint="eastAsia"/>
      </w:rPr>
    </w:lvl>
    <w:lvl w:ilvl="6">
      <w:start w:val="1"/>
      <w:numFmt w:val="decimal"/>
      <w:pStyle w:val="961"/>
      <w:isLgl w:val="false"/>
      <w:suff w:val="nothing"/>
      <w:lvlText w:val=""/>
      <w:lvlJc w:val="left"/>
      <w:pPr>
        <w:ind w:left="0" w:firstLine="0"/>
      </w:pPr>
      <w:rPr>
        <w:rFonts w:hint="eastAsia"/>
      </w:rPr>
    </w:lvl>
    <w:lvl w:ilvl="7">
      <w:start w:val="1"/>
      <w:numFmt w:val="decimal"/>
      <w:pStyle w:val="962"/>
      <w:isLgl w:val="false"/>
      <w:suff w:val="nothing"/>
      <w:lvlText w:val=""/>
      <w:lvlJc w:val="left"/>
      <w:pPr>
        <w:ind w:left="0" w:firstLine="0"/>
      </w:pPr>
      <w:rPr>
        <w:rFonts w:hint="eastAsia"/>
      </w:rPr>
    </w:lvl>
    <w:lvl w:ilvl="8">
      <w:start w:val="1"/>
      <w:numFmt w:val="decimal"/>
      <w:pStyle w:val="963"/>
      <w:isLgl w:val="false"/>
      <w:suff w:val="nothing"/>
      <w:lvlText w:val=""/>
      <w:lvlJc w:val="left"/>
      <w:pPr>
        <w:ind w:left="0" w:firstLine="0"/>
      </w:pPr>
      <w:rPr>
        <w:rFonts w:hint="eastAsia"/>
      </w:rPr>
    </w:lvl>
  </w:abstractNum>
  <w:num w:numId="1">
    <w:abstractNumId w:val="6"/>
  </w:num>
  <w:num w:numId="2">
    <w:abstractNumId w:val="4"/>
  </w:num>
  <w:num w:numId="3">
    <w:abstractNumId w:val="3"/>
  </w:num>
  <w:num w:numId="4">
    <w:abstractNumId w:val="2"/>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qFormat/>
    <w:pPr>
      <w:jc w:val="both"/>
      <w:widowControl w:val="off"/>
    </w:pPr>
    <w:rPr>
      <w:rFonts w:ascii="Calibri" w:hAnsi="Calibri"/>
      <w:sz w:val="21"/>
      <w:szCs w:val="22"/>
    </w:rPr>
  </w:style>
  <w:style w:type="paragraph" w:styleId="731">
    <w:name w:val="Heading 1"/>
    <w:basedOn w:val="730"/>
    <w:next w:val="730"/>
    <w:link w:val="825"/>
    <w:qFormat/>
    <w:pPr>
      <w:keepLines/>
      <w:keepNext/>
      <w:spacing w:before="480" w:after="200"/>
      <w:outlineLvl w:val="0"/>
    </w:pPr>
    <w:rPr>
      <w:rFonts w:ascii="Arial" w:hAnsi="Arial" w:eastAsia="Arial" w:cs="Arial"/>
      <w:sz w:val="40"/>
      <w:szCs w:val="40"/>
    </w:rPr>
  </w:style>
  <w:style w:type="paragraph" w:styleId="732">
    <w:name w:val="Heading 2"/>
    <w:basedOn w:val="730"/>
    <w:next w:val="743"/>
    <w:link w:val="826"/>
    <w:unhideWhenUsed/>
    <w:qFormat/>
    <w:pPr>
      <w:keepLines/>
      <w:keepNext/>
      <w:spacing w:before="360" w:after="200"/>
      <w:outlineLvl w:val="1"/>
    </w:pPr>
    <w:rPr>
      <w:rFonts w:ascii="Arial" w:hAnsi="Arial" w:eastAsia="Arial" w:cs="Arial"/>
      <w:sz w:val="34"/>
    </w:rPr>
  </w:style>
  <w:style w:type="paragraph" w:styleId="733">
    <w:name w:val="Heading 3"/>
    <w:basedOn w:val="730"/>
    <w:next w:val="743"/>
    <w:link w:val="827"/>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828"/>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2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830"/>
    <w:unhideWhenUsed/>
    <w:qFormat/>
    <w:pPr>
      <w:keepLines/>
      <w:keepNext/>
      <w:spacing w:before="320" w:after="200"/>
      <w:outlineLvl w:val="5"/>
    </w:pPr>
    <w:rPr>
      <w:rFonts w:ascii="Arial" w:hAnsi="Arial" w:eastAsia="Arial" w:cs="Arial"/>
      <w:b/>
      <w:bCs/>
      <w:sz w:val="22"/>
    </w:rPr>
  </w:style>
  <w:style w:type="paragraph" w:styleId="737">
    <w:name w:val="Heading 7"/>
    <w:basedOn w:val="730"/>
    <w:next w:val="730"/>
    <w:link w:val="831"/>
    <w:unhideWhenUsed/>
    <w:qFormat/>
    <w:pPr>
      <w:keepLines/>
      <w:keepNext/>
      <w:spacing w:before="320" w:after="200"/>
      <w:outlineLvl w:val="6"/>
    </w:pPr>
    <w:rPr>
      <w:rFonts w:ascii="Arial" w:hAnsi="Arial" w:eastAsia="Arial" w:cs="Arial"/>
      <w:b/>
      <w:bCs/>
      <w:i/>
      <w:iCs/>
      <w:sz w:val="22"/>
    </w:rPr>
  </w:style>
  <w:style w:type="paragraph" w:styleId="738">
    <w:name w:val="Heading 8"/>
    <w:basedOn w:val="730"/>
    <w:next w:val="730"/>
    <w:link w:val="832"/>
    <w:unhideWhenUsed/>
    <w:qFormat/>
    <w:pPr>
      <w:keepLines/>
      <w:keepNext/>
      <w:spacing w:before="320" w:after="200"/>
      <w:outlineLvl w:val="7"/>
    </w:pPr>
    <w:rPr>
      <w:rFonts w:ascii="Arial" w:hAnsi="Arial" w:eastAsia="Arial" w:cs="Arial"/>
      <w:i/>
      <w:iCs/>
      <w:sz w:val="22"/>
    </w:rPr>
  </w:style>
  <w:style w:type="paragraph" w:styleId="739">
    <w:name w:val="Heading 9"/>
    <w:basedOn w:val="730"/>
    <w:next w:val="730"/>
    <w:link w:val="833"/>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style>
  <w:style w:type="table" w:styleId="741" w:default="1">
    <w:name w:val="Normal Table"/>
    <w:uiPriority w:val="99"/>
    <w:semiHidden/>
    <w:unhideWhenUsed/>
    <w:tblPr>
      <w:tblInd w:w="0" w:type="dxa"/>
      <w:tblCellMar>
        <w:left w:w="108" w:type="dxa"/>
        <w:top w:w="0" w:type="dxa"/>
        <w:right w:w="108" w:type="dxa"/>
        <w:bottom w:w="0" w:type="dxa"/>
      </w:tblCellMar>
    </w:tblPr>
  </w:style>
  <w:style w:type="numbering" w:styleId="742" w:default="1">
    <w:name w:val="No List"/>
    <w:uiPriority w:val="99"/>
    <w:semiHidden/>
    <w:unhideWhenUsed/>
  </w:style>
  <w:style w:type="paragraph" w:styleId="743">
    <w:name w:val="Normal Indent"/>
    <w:basedOn w:val="730"/>
    <w:link w:val="1069"/>
    <w:unhideWhenUsed/>
    <w:qFormat/>
    <w:pPr>
      <w:ind w:firstLine="420"/>
    </w:pPr>
    <w:rPr>
      <w:rFonts w:ascii="Times New Roman" w:hAnsi="Times New Roman"/>
      <w:sz w:val="20"/>
      <w:szCs w:val="21"/>
    </w:rPr>
  </w:style>
  <w:style w:type="paragraph" w:styleId="744">
    <w:name w:val="annotation subject"/>
    <w:basedOn w:val="745"/>
    <w:next w:val="745"/>
    <w:link w:val="1080"/>
    <w:qFormat/>
    <w:rPr>
      <w:b/>
      <w:bCs/>
    </w:rPr>
  </w:style>
  <w:style w:type="paragraph" w:styleId="745">
    <w:name w:val="annotation text"/>
    <w:basedOn w:val="730"/>
    <w:link w:val="1072"/>
    <w:qFormat/>
    <w:pPr>
      <w:ind w:firstLine="200"/>
      <w:jc w:val="left"/>
      <w:spacing w:line="360" w:lineRule="auto"/>
    </w:pPr>
    <w:rPr>
      <w:sz w:val="28"/>
      <w:szCs w:val="24"/>
    </w:rPr>
  </w:style>
  <w:style w:type="paragraph" w:styleId="746">
    <w:name w:val="toc 7"/>
    <w:basedOn w:val="730"/>
    <w:next w:val="730"/>
    <w:uiPriority w:val="39"/>
    <w:qFormat/>
    <w:pPr>
      <w:ind w:left="1260"/>
      <w:jc w:val="left"/>
    </w:pPr>
    <w:rPr>
      <w:rFonts w:ascii="Times New Roman" w:hAnsi="Times New Roman"/>
      <w:szCs w:val="21"/>
    </w:rPr>
  </w:style>
  <w:style w:type="paragraph" w:styleId="747">
    <w:name w:val="Body Text First Indent"/>
    <w:basedOn w:val="748"/>
    <w:next w:val="730"/>
    <w:link w:val="1081"/>
    <w:qFormat/>
    <w:pPr>
      <w:ind w:firstLine="200"/>
      <w:jc w:val="left"/>
      <w:spacing w:line="360" w:lineRule="auto"/>
    </w:pPr>
    <w:rPr>
      <w:bCs/>
      <w:sz w:val="24"/>
    </w:rPr>
  </w:style>
  <w:style w:type="paragraph" w:styleId="748">
    <w:name w:val="Body Text"/>
    <w:basedOn w:val="730"/>
    <w:next w:val="730"/>
    <w:link w:val="1073"/>
    <w:unhideWhenUsed/>
    <w:qFormat/>
    <w:rPr>
      <w:rFonts w:ascii="楷体_GB2312" w:hAnsi="Arial" w:eastAsia="楷体_GB2312"/>
      <w:sz w:val="28"/>
      <w:szCs w:val="28"/>
    </w:rPr>
  </w:style>
  <w:style w:type="paragraph" w:styleId="749">
    <w:name w:val="table of authorities"/>
    <w:basedOn w:val="730"/>
    <w:next w:val="730"/>
    <w:uiPriority w:val="99"/>
    <w:qFormat/>
    <w:pPr>
      <w:ind w:left="420"/>
    </w:pPr>
    <w:rPr>
      <w:szCs w:val="24"/>
    </w:rPr>
  </w:style>
  <w:style w:type="paragraph" w:styleId="750">
    <w:name w:val="Caption"/>
    <w:basedOn w:val="730"/>
    <w:next w:val="730"/>
    <w:link w:val="1070"/>
    <w:unhideWhenUsed/>
    <w:qFormat/>
    <w:pPr>
      <w:spacing w:line="276" w:lineRule="auto"/>
    </w:pPr>
    <w:rPr>
      <w:b/>
      <w:bCs/>
      <w:color w:val="4f81bd" w:themeColor="accent1"/>
      <w:sz w:val="18"/>
      <w:szCs w:val="18"/>
    </w:rPr>
  </w:style>
  <w:style w:type="paragraph" w:styleId="751">
    <w:name w:val="index 5"/>
    <w:basedOn w:val="730"/>
    <w:next w:val="730"/>
    <w:unhideWhenUsed/>
    <w:pPr>
      <w:ind w:left="800"/>
    </w:pPr>
    <w:rPr>
      <w:szCs w:val="24"/>
    </w:rPr>
  </w:style>
  <w:style w:type="paragraph" w:styleId="752">
    <w:name w:val="Document Map"/>
    <w:basedOn w:val="730"/>
    <w:link w:val="1071"/>
    <w:uiPriority w:val="99"/>
    <w:unhideWhenUsed/>
    <w:qFormat/>
    <w:pPr>
      <w:jc w:val="left"/>
      <w:spacing w:line="360" w:lineRule="auto"/>
      <w:widowControl/>
    </w:pPr>
    <w:rPr>
      <w:rFonts w:ascii="宋体"/>
      <w:sz w:val="18"/>
      <w:szCs w:val="18"/>
    </w:rPr>
  </w:style>
  <w:style w:type="paragraph" w:styleId="753">
    <w:name w:val="Body Text Indent"/>
    <w:basedOn w:val="730"/>
    <w:link w:val="1075"/>
    <w:qFormat/>
    <w:pPr>
      <w:ind w:firstLine="600"/>
    </w:pPr>
    <w:rPr>
      <w:rFonts w:eastAsia="仿宋_GB2312"/>
      <w:sz w:val="28"/>
      <w:szCs w:val="24"/>
    </w:rPr>
  </w:style>
  <w:style w:type="paragraph" w:styleId="754">
    <w:name w:val="List 2"/>
    <w:basedOn w:val="730"/>
    <w:qFormat/>
    <w:pPr>
      <w:ind w:left="100" w:hanging="200"/>
    </w:pPr>
    <w:rPr>
      <w:sz w:val="10"/>
      <w:szCs w:val="24"/>
    </w:rPr>
  </w:style>
  <w:style w:type="paragraph" w:styleId="755">
    <w:name w:val="Block Text"/>
    <w:basedOn w:val="730"/>
    <w:qFormat/>
    <w:pPr>
      <w:ind w:left="1440" w:right="1440"/>
      <w:spacing w:after="120"/>
    </w:pPr>
    <w:rPr>
      <w:szCs w:val="20"/>
    </w:rPr>
  </w:style>
  <w:style w:type="paragraph" w:styleId="756">
    <w:name w:val="index 4"/>
    <w:basedOn w:val="730"/>
    <w:next w:val="730"/>
    <w:unhideWhenUsed/>
    <w:qFormat/>
    <w:pPr>
      <w:jc w:val="left"/>
      <w:spacing w:before="100" w:beforeAutospacing="1" w:after="100" w:afterAutospacing="1"/>
      <w:widowControl/>
    </w:pPr>
    <w:rPr>
      <w:rFonts w:ascii="宋体" w:hAnsi="宋体" w:cs="宋体"/>
      <w:sz w:val="24"/>
      <w:szCs w:val="24"/>
    </w:rPr>
  </w:style>
  <w:style w:type="paragraph" w:styleId="757">
    <w:name w:val="toc 5"/>
    <w:basedOn w:val="730"/>
    <w:next w:val="730"/>
    <w:uiPriority w:val="39"/>
    <w:qFormat/>
    <w:pPr>
      <w:ind w:left="840"/>
      <w:jc w:val="left"/>
    </w:pPr>
    <w:rPr>
      <w:rFonts w:ascii="Times New Roman" w:hAnsi="Times New Roman"/>
      <w:szCs w:val="21"/>
    </w:rPr>
  </w:style>
  <w:style w:type="paragraph" w:styleId="758">
    <w:name w:val="toc 3"/>
    <w:basedOn w:val="730"/>
    <w:next w:val="730"/>
    <w:uiPriority w:val="39"/>
    <w:qFormat/>
    <w:pPr>
      <w:ind w:left="420"/>
      <w:jc w:val="left"/>
    </w:pPr>
    <w:rPr>
      <w:rFonts w:ascii="Times New Roman" w:hAnsi="Times New Roman"/>
      <w:i/>
      <w:iCs/>
      <w:szCs w:val="24"/>
    </w:rPr>
  </w:style>
  <w:style w:type="paragraph" w:styleId="759">
    <w:name w:val="Plain Text"/>
    <w:basedOn w:val="730"/>
    <w:qFormat/>
    <w:rPr>
      <w:rFonts w:ascii="宋体" w:hAnsi="Courier New"/>
    </w:rPr>
  </w:style>
  <w:style w:type="paragraph" w:styleId="760">
    <w:name w:val="toc 8"/>
    <w:basedOn w:val="730"/>
    <w:next w:val="730"/>
    <w:uiPriority w:val="39"/>
    <w:qFormat/>
    <w:pPr>
      <w:ind w:left="1470"/>
      <w:jc w:val="left"/>
    </w:pPr>
    <w:rPr>
      <w:rFonts w:ascii="Times New Roman" w:hAnsi="Times New Roman"/>
      <w:szCs w:val="21"/>
    </w:rPr>
  </w:style>
  <w:style w:type="paragraph" w:styleId="761">
    <w:name w:val="Date"/>
    <w:basedOn w:val="730"/>
    <w:next w:val="730"/>
    <w:link w:val="1076"/>
    <w:qFormat/>
    <w:pPr>
      <w:ind w:firstLine="652"/>
      <w:spacing w:line="319" w:lineRule="auto"/>
    </w:pPr>
    <w:rPr>
      <w:rFonts w:ascii="Century Schoolbook" w:hAnsi="Century Schoolbook" w:eastAsia="文鼎小标宋"/>
      <w:spacing w:val="-4"/>
      <w:sz w:val="23"/>
      <w:szCs w:val="20"/>
    </w:rPr>
  </w:style>
  <w:style w:type="paragraph" w:styleId="762">
    <w:name w:val="Body Text Indent 2"/>
    <w:basedOn w:val="730"/>
    <w:link w:val="1077"/>
    <w:uiPriority w:val="99"/>
    <w:qFormat/>
    <w:pPr>
      <w:ind w:firstLine="412"/>
      <w:spacing w:line="400" w:lineRule="exact"/>
    </w:pPr>
    <w:rPr>
      <w:rFonts w:ascii="仿宋_GB2312" w:eastAsia="仿宋_GB2312"/>
      <w:sz w:val="24"/>
      <w:szCs w:val="24"/>
    </w:rPr>
  </w:style>
  <w:style w:type="paragraph" w:styleId="763">
    <w:name w:val="endnote text"/>
    <w:basedOn w:val="730"/>
    <w:link w:val="952"/>
    <w:uiPriority w:val="99"/>
    <w:semiHidden/>
    <w:unhideWhenUsed/>
    <w:qFormat/>
    <w:rPr>
      <w:sz w:val="20"/>
    </w:rPr>
  </w:style>
  <w:style w:type="paragraph" w:styleId="764">
    <w:name w:val="Balloon Text"/>
    <w:basedOn w:val="730"/>
    <w:link w:val="1078"/>
    <w:semiHidden/>
    <w:qFormat/>
    <w:rPr>
      <w:sz w:val="18"/>
      <w:szCs w:val="18"/>
    </w:rPr>
  </w:style>
  <w:style w:type="paragraph" w:styleId="765">
    <w:name w:val="Footer"/>
    <w:basedOn w:val="730"/>
    <w:link w:val="844"/>
    <w:uiPriority w:val="99"/>
    <w:unhideWhenUsed/>
    <w:qFormat/>
    <w:pPr>
      <w:tabs>
        <w:tab w:val="center" w:pos="7143" w:leader="none"/>
        <w:tab w:val="right" w:pos="14287" w:leader="none"/>
      </w:tabs>
    </w:pPr>
  </w:style>
  <w:style w:type="paragraph" w:styleId="766">
    <w:name w:val="Body Text First Indent 2"/>
    <w:basedOn w:val="753"/>
    <w:link w:val="1082"/>
    <w:qFormat/>
    <w:pPr>
      <w:ind w:left="420" w:firstLine="420"/>
      <w:jc w:val="left"/>
      <w:spacing w:after="120"/>
    </w:pPr>
    <w:rPr>
      <w:sz w:val="21"/>
    </w:rPr>
  </w:style>
  <w:style w:type="paragraph" w:styleId="767">
    <w:name w:val="Header"/>
    <w:basedOn w:val="730"/>
    <w:link w:val="842"/>
    <w:unhideWhenUsed/>
    <w:qFormat/>
    <w:pPr>
      <w:tabs>
        <w:tab w:val="center" w:pos="7143" w:leader="none"/>
        <w:tab w:val="right" w:pos="14287" w:leader="none"/>
      </w:tabs>
    </w:pPr>
  </w:style>
  <w:style w:type="paragraph" w:styleId="768">
    <w:name w:val="toc 1"/>
    <w:basedOn w:val="730"/>
    <w:next w:val="730"/>
    <w:uiPriority w:val="39"/>
    <w:qFormat/>
    <w:pPr>
      <w:jc w:val="left"/>
      <w:spacing w:before="120" w:after="120" w:line="400" w:lineRule="exact"/>
      <w:tabs>
        <w:tab w:val="right" w:pos="8720" w:leader="dot"/>
      </w:tabs>
    </w:pPr>
    <w:rPr>
      <w:rFonts w:ascii="宋体" w:hAnsi="宋体"/>
      <w:caps/>
      <w:sz w:val="24"/>
      <w:szCs w:val="24"/>
    </w:rPr>
  </w:style>
  <w:style w:type="paragraph" w:styleId="769">
    <w:name w:val="toc 4"/>
    <w:basedOn w:val="730"/>
    <w:next w:val="730"/>
    <w:uiPriority w:val="39"/>
    <w:qFormat/>
    <w:pPr>
      <w:ind w:left="630"/>
      <w:jc w:val="left"/>
    </w:pPr>
    <w:rPr>
      <w:rFonts w:ascii="Times New Roman" w:hAnsi="Times New Roman"/>
      <w:szCs w:val="21"/>
    </w:rPr>
  </w:style>
  <w:style w:type="paragraph" w:styleId="770">
    <w:name w:val="Subtitle"/>
    <w:basedOn w:val="730"/>
    <w:next w:val="730"/>
    <w:link w:val="837"/>
    <w:qFormat/>
    <w:pPr>
      <w:spacing w:before="200" w:after="200"/>
    </w:pPr>
    <w:rPr>
      <w:sz w:val="24"/>
      <w:szCs w:val="24"/>
    </w:rPr>
  </w:style>
  <w:style w:type="paragraph" w:styleId="771">
    <w:name w:val="footnote text"/>
    <w:basedOn w:val="730"/>
    <w:link w:val="951"/>
    <w:unhideWhenUsed/>
    <w:qFormat/>
    <w:pPr>
      <w:spacing w:after="40"/>
    </w:pPr>
    <w:rPr>
      <w:sz w:val="18"/>
    </w:rPr>
  </w:style>
  <w:style w:type="paragraph" w:styleId="772">
    <w:name w:val="toc 6"/>
    <w:basedOn w:val="730"/>
    <w:next w:val="730"/>
    <w:uiPriority w:val="39"/>
    <w:qFormat/>
    <w:pPr>
      <w:ind w:left="1050"/>
      <w:jc w:val="left"/>
    </w:pPr>
    <w:rPr>
      <w:rFonts w:ascii="Times New Roman" w:hAnsi="Times New Roman"/>
      <w:szCs w:val="21"/>
    </w:rPr>
  </w:style>
  <w:style w:type="paragraph" w:styleId="773">
    <w:name w:val="Body Text Indent 3"/>
    <w:basedOn w:val="730"/>
    <w:link w:val="1079"/>
    <w:qFormat/>
    <w:pPr>
      <w:ind w:firstLine="600"/>
      <w:spacing w:before="50" w:after="50" w:line="400" w:lineRule="exact"/>
    </w:pPr>
    <w:rPr>
      <w:rFonts w:ascii="仿宋_GB2312" w:hAnsi="宋体" w:eastAsia="仿宋_GB2312"/>
      <w:sz w:val="32"/>
      <w:szCs w:val="24"/>
    </w:rPr>
  </w:style>
  <w:style w:type="paragraph" w:styleId="774">
    <w:name w:val="table of figures"/>
    <w:basedOn w:val="730"/>
    <w:next w:val="730"/>
    <w:uiPriority w:val="99"/>
    <w:unhideWhenUsed/>
    <w:qFormat/>
  </w:style>
  <w:style w:type="paragraph" w:styleId="775">
    <w:name w:val="toc 2"/>
    <w:basedOn w:val="730"/>
    <w:next w:val="730"/>
    <w:uiPriority w:val="39"/>
    <w:qFormat/>
    <w:pPr>
      <w:ind w:left="210"/>
      <w:jc w:val="left"/>
    </w:pPr>
    <w:rPr>
      <w:rFonts w:ascii="Times New Roman" w:hAnsi="Times New Roman"/>
      <w:smallCaps/>
      <w:szCs w:val="24"/>
    </w:rPr>
  </w:style>
  <w:style w:type="paragraph" w:styleId="776">
    <w:name w:val="toc 9"/>
    <w:basedOn w:val="730"/>
    <w:next w:val="730"/>
    <w:uiPriority w:val="39"/>
    <w:qFormat/>
    <w:pPr>
      <w:ind w:left="1680"/>
      <w:jc w:val="left"/>
    </w:pPr>
    <w:rPr>
      <w:rFonts w:ascii="Times New Roman" w:hAnsi="Times New Roman"/>
      <w:szCs w:val="21"/>
    </w:rPr>
  </w:style>
  <w:style w:type="paragraph" w:styleId="777">
    <w:name w:val="Normal (Web)"/>
    <w:basedOn w:val="730"/>
    <w:link w:val="1068"/>
    <w:uiPriority w:val="99"/>
    <w:qFormat/>
    <w:pPr>
      <w:ind w:firstLine="420"/>
    </w:pPr>
  </w:style>
  <w:style w:type="paragraph" w:styleId="778">
    <w:name w:val="Title"/>
    <w:basedOn w:val="730"/>
    <w:next w:val="730"/>
    <w:link w:val="836"/>
    <w:uiPriority w:val="10"/>
    <w:qFormat/>
    <w:pPr>
      <w:contextualSpacing/>
      <w:spacing w:before="300" w:after="200"/>
    </w:pPr>
    <w:rPr>
      <w:sz w:val="48"/>
      <w:szCs w:val="48"/>
    </w:rPr>
  </w:style>
  <w:style w:type="character" w:styleId="779">
    <w:name w:val="Strong"/>
    <w:basedOn w:val="740"/>
    <w:qFormat/>
    <w:rPr>
      <w:b/>
      <w:bCs/>
    </w:rPr>
  </w:style>
  <w:style w:type="character" w:styleId="780">
    <w:name w:val="endnote reference"/>
    <w:uiPriority w:val="99"/>
    <w:semiHidden/>
    <w:unhideWhenUsed/>
    <w:qFormat/>
    <w:rPr>
      <w:vertAlign w:val="superscript"/>
    </w:rPr>
  </w:style>
  <w:style w:type="character" w:styleId="781">
    <w:name w:val="page number"/>
    <w:basedOn w:val="740"/>
    <w:qFormat/>
    <w:rPr>
      <w:rFonts w:cs="Times New Roman"/>
    </w:rPr>
  </w:style>
  <w:style w:type="character" w:styleId="782">
    <w:name w:val="FollowedHyperlink"/>
    <w:uiPriority w:val="99"/>
    <w:rPr>
      <w:color w:val="800080"/>
      <w:u w:val="single"/>
    </w:rPr>
  </w:style>
  <w:style w:type="character" w:styleId="783">
    <w:name w:val="line number"/>
    <w:basedOn w:val="740"/>
    <w:unhideWhenUsed/>
  </w:style>
  <w:style w:type="character" w:styleId="784">
    <w:name w:val="Hyperlink"/>
    <w:basedOn w:val="740"/>
    <w:unhideWhenUsed/>
    <w:qFormat/>
    <w:rPr>
      <w:color w:val="0000ff" w:themeColor="hyperlink"/>
      <w:u w:val="single"/>
    </w:rPr>
  </w:style>
  <w:style w:type="character" w:styleId="785">
    <w:name w:val="annotation reference"/>
    <w:qFormat/>
    <w:rPr>
      <w:sz w:val="21"/>
      <w:szCs w:val="21"/>
    </w:rPr>
  </w:style>
  <w:style w:type="character" w:styleId="786">
    <w:name w:val="footnote reference"/>
    <w:unhideWhenUsed/>
    <w:qFormat/>
    <w:rPr>
      <w:vertAlign w:val="superscript"/>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customStyle="1">
    <w:name w:val="Heading 1 Char"/>
    <w:basedOn w:val="740"/>
    <w:uiPriority w:val="9"/>
    <w:rPr>
      <w:rFonts w:ascii="Arial" w:hAnsi="Arial" w:eastAsia="Arial" w:cs="Arial"/>
      <w:sz w:val="40"/>
      <w:szCs w:val="40"/>
    </w:rPr>
  </w:style>
  <w:style w:type="character" w:styleId="789" w:customStyle="1">
    <w:name w:val="Heading 2 Char"/>
    <w:basedOn w:val="740"/>
    <w:uiPriority w:val="9"/>
    <w:rPr>
      <w:rFonts w:ascii="Arial" w:hAnsi="Arial" w:eastAsia="Arial" w:cs="Arial"/>
      <w:sz w:val="34"/>
    </w:rPr>
  </w:style>
  <w:style w:type="character" w:styleId="790" w:customStyle="1">
    <w:name w:val="Heading 3 Char"/>
    <w:basedOn w:val="740"/>
    <w:uiPriority w:val="9"/>
    <w:rPr>
      <w:rFonts w:ascii="Arial" w:hAnsi="Arial" w:eastAsia="Arial" w:cs="Arial"/>
      <w:sz w:val="30"/>
      <w:szCs w:val="30"/>
    </w:rPr>
  </w:style>
  <w:style w:type="character" w:styleId="791" w:customStyle="1">
    <w:name w:val="Heading 4 Char"/>
    <w:basedOn w:val="740"/>
    <w:uiPriority w:val="9"/>
    <w:rPr>
      <w:rFonts w:ascii="Arial" w:hAnsi="Arial" w:eastAsia="Arial" w:cs="Arial"/>
      <w:b/>
      <w:bCs/>
      <w:sz w:val="26"/>
      <w:szCs w:val="26"/>
    </w:rPr>
  </w:style>
  <w:style w:type="character" w:styleId="792" w:customStyle="1">
    <w:name w:val="Heading 5 Char"/>
    <w:basedOn w:val="740"/>
    <w:uiPriority w:val="9"/>
    <w:rPr>
      <w:rFonts w:ascii="Arial" w:hAnsi="Arial" w:eastAsia="Arial" w:cs="Arial"/>
      <w:b/>
      <w:bCs/>
      <w:sz w:val="24"/>
      <w:szCs w:val="24"/>
    </w:rPr>
  </w:style>
  <w:style w:type="character" w:styleId="793" w:customStyle="1">
    <w:name w:val="Heading 6 Char"/>
    <w:basedOn w:val="740"/>
    <w:uiPriority w:val="9"/>
    <w:rPr>
      <w:rFonts w:ascii="Arial" w:hAnsi="Arial" w:eastAsia="Arial" w:cs="Arial"/>
      <w:b/>
      <w:bCs/>
      <w:sz w:val="22"/>
      <w:szCs w:val="22"/>
    </w:rPr>
  </w:style>
  <w:style w:type="character" w:styleId="794" w:customStyle="1">
    <w:name w:val="Heading 7 Char"/>
    <w:basedOn w:val="740"/>
    <w:uiPriority w:val="9"/>
    <w:rPr>
      <w:rFonts w:ascii="Arial" w:hAnsi="Arial" w:eastAsia="Arial" w:cs="Arial"/>
      <w:b/>
      <w:bCs/>
      <w:i/>
      <w:iCs/>
      <w:sz w:val="22"/>
      <w:szCs w:val="22"/>
    </w:rPr>
  </w:style>
  <w:style w:type="character" w:styleId="795" w:customStyle="1">
    <w:name w:val="Heading 8 Char"/>
    <w:basedOn w:val="740"/>
    <w:uiPriority w:val="9"/>
    <w:rPr>
      <w:rFonts w:ascii="Arial" w:hAnsi="Arial" w:eastAsia="Arial" w:cs="Arial"/>
      <w:i/>
      <w:iCs/>
      <w:sz w:val="22"/>
      <w:szCs w:val="22"/>
    </w:rPr>
  </w:style>
  <w:style w:type="character" w:styleId="796" w:customStyle="1">
    <w:name w:val="Heading 9 Char"/>
    <w:basedOn w:val="740"/>
    <w:uiPriority w:val="9"/>
    <w:rPr>
      <w:rFonts w:ascii="Arial" w:hAnsi="Arial" w:eastAsia="Arial" w:cs="Arial"/>
      <w:i/>
      <w:iCs/>
      <w:sz w:val="21"/>
      <w:szCs w:val="21"/>
    </w:rPr>
  </w:style>
  <w:style w:type="character" w:styleId="797" w:customStyle="1">
    <w:name w:val="Title Char"/>
    <w:basedOn w:val="740"/>
    <w:uiPriority w:val="10"/>
    <w:rPr>
      <w:sz w:val="48"/>
      <w:szCs w:val="48"/>
    </w:rPr>
  </w:style>
  <w:style w:type="character" w:styleId="798" w:customStyle="1">
    <w:name w:val="Subtitle Char"/>
    <w:basedOn w:val="740"/>
    <w:uiPriority w:val="11"/>
    <w:rPr>
      <w:sz w:val="24"/>
      <w:szCs w:val="24"/>
    </w:rPr>
  </w:style>
  <w:style w:type="character" w:styleId="799" w:customStyle="1">
    <w:name w:val="Quote Char"/>
    <w:uiPriority w:val="29"/>
    <w:rPr>
      <w:i/>
    </w:rPr>
  </w:style>
  <w:style w:type="character" w:styleId="800" w:customStyle="1">
    <w:name w:val="Intense Quote Char"/>
    <w:uiPriority w:val="30"/>
    <w:rPr>
      <w:i/>
    </w:rPr>
  </w:style>
  <w:style w:type="character" w:styleId="801" w:customStyle="1">
    <w:name w:val="Header Char"/>
    <w:basedOn w:val="740"/>
    <w:uiPriority w:val="99"/>
  </w:style>
  <w:style w:type="character" w:styleId="802" w:customStyle="1">
    <w:name w:val="Caption Char"/>
    <w:uiPriority w:val="99"/>
  </w:style>
  <w:style w:type="table" w:styleId="803" w:customStyle="1">
    <w:name w:val="无格式表格 11"/>
    <w:basedOn w:val="74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4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9" w:customStyle="1">
    <w:name w:val="网格表 2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网格表 3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网格表 6 彩色1"/>
    <w:basedOn w:val="74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4" w:customStyle="1">
    <w:name w:val="网格表 7 彩色1"/>
    <w:basedOn w:val="74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清单表 1 浅色1"/>
    <w:basedOn w:val="74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清单表 21"/>
    <w:basedOn w:val="74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7"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5 深色1"/>
    <w:basedOn w:val="74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0" w:customStyle="1">
    <w:name w:val="清单表 6 彩色1"/>
    <w:basedOn w:val="741"/>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1" w:customStyle="1">
    <w:name w:val="清单表 7 彩色1"/>
    <w:basedOn w:val="741"/>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2" w:customStyle="1">
    <w:name w:val="Footnote Text Char"/>
    <w:uiPriority w:val="99"/>
    <w:rPr>
      <w:sz w:val="18"/>
    </w:rPr>
  </w:style>
  <w:style w:type="character" w:styleId="823" w:customStyle="1">
    <w:name w:val="Endnote Text Char"/>
    <w:uiPriority w:val="99"/>
    <w:rPr>
      <w:sz w:val="20"/>
    </w:rPr>
  </w:style>
  <w:style w:type="paragraph" w:styleId="824" w:customStyle="1">
    <w:name w:val="TOC 标题1"/>
    <w:uiPriority w:val="39"/>
    <w:unhideWhenUsed/>
  </w:style>
  <w:style w:type="character" w:styleId="825" w:customStyle="1">
    <w:name w:val="标题 1 Char"/>
    <w:link w:val="731"/>
    <w:qFormat/>
    <w:rPr>
      <w:rFonts w:ascii="Arial" w:hAnsi="Arial" w:eastAsia="Arial" w:cs="Arial"/>
      <w:sz w:val="40"/>
      <w:szCs w:val="40"/>
    </w:rPr>
  </w:style>
  <w:style w:type="character" w:styleId="826" w:customStyle="1">
    <w:name w:val="标题 2 Char"/>
    <w:link w:val="732"/>
    <w:qFormat/>
    <w:rPr>
      <w:rFonts w:ascii="Arial" w:hAnsi="Arial" w:eastAsia="Arial" w:cs="Arial"/>
      <w:sz w:val="34"/>
    </w:rPr>
  </w:style>
  <w:style w:type="character" w:styleId="827" w:customStyle="1">
    <w:name w:val="标题 3 Char"/>
    <w:link w:val="733"/>
    <w:uiPriority w:val="9"/>
    <w:qFormat/>
    <w:rPr>
      <w:rFonts w:ascii="Arial" w:hAnsi="Arial" w:eastAsia="Arial" w:cs="Arial"/>
      <w:sz w:val="30"/>
      <w:szCs w:val="30"/>
    </w:rPr>
  </w:style>
  <w:style w:type="character" w:styleId="828" w:customStyle="1">
    <w:name w:val="标题 4 Char"/>
    <w:link w:val="734"/>
    <w:qFormat/>
    <w:rPr>
      <w:rFonts w:ascii="Arial" w:hAnsi="Arial" w:eastAsia="Arial" w:cs="Arial"/>
      <w:b/>
      <w:bCs/>
      <w:sz w:val="26"/>
      <w:szCs w:val="26"/>
    </w:rPr>
  </w:style>
  <w:style w:type="character" w:styleId="829" w:customStyle="1">
    <w:name w:val="标题 5 Char"/>
    <w:link w:val="735"/>
    <w:qFormat/>
    <w:rPr>
      <w:rFonts w:ascii="Arial" w:hAnsi="Arial" w:eastAsia="Arial" w:cs="Arial"/>
      <w:b/>
      <w:bCs/>
      <w:sz w:val="24"/>
      <w:szCs w:val="24"/>
    </w:rPr>
  </w:style>
  <w:style w:type="character" w:styleId="830" w:customStyle="1">
    <w:name w:val="标题 6 Char"/>
    <w:link w:val="736"/>
    <w:qFormat/>
    <w:rPr>
      <w:rFonts w:ascii="Arial" w:hAnsi="Arial" w:eastAsia="Arial" w:cs="Arial"/>
      <w:b/>
      <w:bCs/>
      <w:sz w:val="22"/>
      <w:szCs w:val="22"/>
    </w:rPr>
  </w:style>
  <w:style w:type="character" w:styleId="831" w:customStyle="1">
    <w:name w:val="标题 7 Char"/>
    <w:link w:val="737"/>
    <w:qFormat/>
    <w:rPr>
      <w:rFonts w:ascii="Arial" w:hAnsi="Arial" w:eastAsia="Arial" w:cs="Arial"/>
      <w:b/>
      <w:bCs/>
      <w:i/>
      <w:iCs/>
      <w:sz w:val="22"/>
      <w:szCs w:val="22"/>
    </w:rPr>
  </w:style>
  <w:style w:type="character" w:styleId="832" w:customStyle="1">
    <w:name w:val="标题 8 Char"/>
    <w:link w:val="738"/>
    <w:qFormat/>
    <w:rPr>
      <w:rFonts w:ascii="Arial" w:hAnsi="Arial" w:eastAsia="Arial" w:cs="Arial"/>
      <w:i/>
      <w:iCs/>
      <w:sz w:val="22"/>
      <w:szCs w:val="22"/>
    </w:rPr>
  </w:style>
  <w:style w:type="character" w:styleId="833" w:customStyle="1">
    <w:name w:val="标题 9 Char"/>
    <w:link w:val="739"/>
    <w:qFormat/>
    <w:rPr>
      <w:rFonts w:ascii="Arial" w:hAnsi="Arial" w:eastAsia="Arial" w:cs="Arial"/>
      <w:i/>
      <w:iCs/>
      <w:sz w:val="21"/>
      <w:szCs w:val="21"/>
    </w:rPr>
  </w:style>
  <w:style w:type="paragraph" w:styleId="834">
    <w:name w:val="List Paragraph"/>
    <w:basedOn w:val="730"/>
    <w:qFormat/>
    <w:pPr>
      <w:contextualSpacing/>
      <w:ind w:left="720"/>
    </w:pPr>
  </w:style>
  <w:style w:type="paragraph" w:styleId="835">
    <w:name w:val="No Spacing"/>
    <w:uiPriority w:val="1"/>
    <w:qFormat/>
    <w:rPr>
      <w:rFonts w:ascii="Calibri" w:hAnsi="Calibri"/>
    </w:rPr>
  </w:style>
  <w:style w:type="character" w:styleId="836" w:customStyle="1">
    <w:name w:val="标题 Char"/>
    <w:link w:val="778"/>
    <w:uiPriority w:val="10"/>
    <w:qFormat/>
    <w:rPr>
      <w:sz w:val="48"/>
      <w:szCs w:val="48"/>
    </w:rPr>
  </w:style>
  <w:style w:type="character" w:styleId="837" w:customStyle="1">
    <w:name w:val="副标题 Char"/>
    <w:link w:val="770"/>
    <w:qFormat/>
    <w:rPr>
      <w:sz w:val="24"/>
      <w:szCs w:val="24"/>
    </w:rPr>
  </w:style>
  <w:style w:type="paragraph" w:styleId="838">
    <w:name w:val="Quote"/>
    <w:basedOn w:val="730"/>
    <w:next w:val="730"/>
    <w:link w:val="839"/>
    <w:uiPriority w:val="29"/>
    <w:qFormat/>
    <w:pPr>
      <w:ind w:left="720" w:right="720"/>
    </w:pPr>
    <w:rPr>
      <w:i/>
    </w:rPr>
  </w:style>
  <w:style w:type="character" w:styleId="839" w:customStyle="1">
    <w:name w:val="引用 Char"/>
    <w:link w:val="838"/>
    <w:uiPriority w:val="29"/>
    <w:qFormat/>
    <w:rPr>
      <w:i/>
    </w:rPr>
  </w:style>
  <w:style w:type="paragraph" w:styleId="840">
    <w:name w:val="Intense Quote"/>
    <w:basedOn w:val="730"/>
    <w:next w:val="730"/>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Char"/>
    <w:link w:val="840"/>
    <w:uiPriority w:val="30"/>
    <w:qFormat/>
    <w:rPr>
      <w:i/>
    </w:rPr>
  </w:style>
  <w:style w:type="character" w:styleId="842" w:customStyle="1">
    <w:name w:val="页眉 Char"/>
    <w:link w:val="767"/>
    <w:qFormat/>
  </w:style>
  <w:style w:type="character" w:styleId="843" w:customStyle="1">
    <w:name w:val="Footer Char"/>
    <w:uiPriority w:val="99"/>
    <w:qFormat/>
  </w:style>
  <w:style w:type="character" w:styleId="844" w:customStyle="1">
    <w:name w:val="页脚 Char"/>
    <w:link w:val="765"/>
    <w:uiPriority w:val="99"/>
    <w:qFormat/>
  </w:style>
  <w:style w:type="table" w:styleId="84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Char"/>
    <w:link w:val="771"/>
    <w:qFormat/>
    <w:rPr>
      <w:sz w:val="18"/>
    </w:rPr>
  </w:style>
  <w:style w:type="character" w:styleId="952" w:customStyle="1">
    <w:name w:val="尾注文本 Char"/>
    <w:link w:val="763"/>
    <w:uiPriority w:val="99"/>
    <w:qFormat/>
    <w:rPr>
      <w:sz w:val="20"/>
    </w:rPr>
  </w:style>
  <w:style w:type="paragraph" w:styleId="953" w:customStyle="1">
    <w:name w:val="TOC 标题111"/>
    <w:uiPriority w:val="39"/>
    <w:unhideWhenUsed/>
    <w:qFormat/>
    <w:rPr>
      <w:rFonts w:ascii="Calibri" w:hAnsi="Calibri"/>
    </w:rPr>
  </w:style>
  <w:style w:type="paragraph" w:styleId="954" w:customStyle="1">
    <w:name w:val="标题 11"/>
    <w:basedOn w:val="730"/>
    <w:next w:val="730"/>
    <w:link w:val="970"/>
    <w:qFormat/>
    <w:pPr>
      <w:jc w:val="center"/>
      <w:keepNext/>
      <w:outlineLvl w:val="0"/>
    </w:pPr>
    <w:rPr>
      <w:rFonts w:ascii="楷体_GB2312" w:hAnsi="Times New Roman" w:eastAsia="楷体_GB2312"/>
      <w:sz w:val="28"/>
      <w:szCs w:val="28"/>
    </w:rPr>
  </w:style>
  <w:style w:type="paragraph" w:styleId="955" w:customStyle="1">
    <w:name w:val="标题 21"/>
    <w:basedOn w:val="730"/>
    <w:next w:val="956"/>
    <w:link w:val="971"/>
    <w:qFormat/>
    <w:pPr>
      <w:jc w:val="center"/>
      <w:keepLines/>
      <w:keepNext/>
      <w:spacing w:before="260" w:after="260" w:line="416" w:lineRule="auto"/>
      <w:outlineLvl w:val="1"/>
    </w:pPr>
    <w:rPr>
      <w:rFonts w:ascii="Arial" w:hAnsi="Arial" w:eastAsia="幼圆" w:cs="Arial"/>
      <w:b/>
      <w:bCs/>
      <w:sz w:val="44"/>
      <w:szCs w:val="44"/>
    </w:rPr>
  </w:style>
  <w:style w:type="paragraph" w:styleId="956" w:customStyle="1">
    <w:name w:val="正文缩进1"/>
    <w:basedOn w:val="730"/>
    <w:link w:val="972"/>
    <w:qFormat/>
    <w:pPr>
      <w:ind w:firstLine="420"/>
    </w:pPr>
    <w:rPr>
      <w:szCs w:val="21"/>
    </w:rPr>
  </w:style>
  <w:style w:type="paragraph" w:styleId="957" w:customStyle="1">
    <w:name w:val="标题 31"/>
    <w:basedOn w:val="730"/>
    <w:next w:val="956"/>
    <w:link w:val="973"/>
    <w:qFormat/>
    <w:pPr>
      <w:keepLines/>
      <w:keepNext/>
      <w:spacing w:before="260" w:after="260" w:line="416" w:lineRule="auto"/>
      <w:outlineLvl w:val="2"/>
    </w:pPr>
    <w:rPr>
      <w:rFonts w:ascii="Times New Roman" w:hAnsi="Times New Roman"/>
      <w:b/>
      <w:bCs/>
      <w:sz w:val="32"/>
      <w:szCs w:val="32"/>
    </w:rPr>
  </w:style>
  <w:style w:type="paragraph" w:styleId="958" w:customStyle="1">
    <w:name w:val="标题 41"/>
    <w:basedOn w:val="730"/>
    <w:next w:val="956"/>
    <w:link w:val="974"/>
    <w:qFormat/>
    <w:pPr>
      <w:keepLines/>
      <w:keepNext/>
      <w:spacing w:before="280" w:after="290" w:line="376" w:lineRule="auto"/>
      <w:outlineLvl w:val="3"/>
    </w:pPr>
    <w:rPr>
      <w:rFonts w:ascii="Arial" w:hAnsi="Arial" w:eastAsia="黑体" w:cs="Arial"/>
      <w:b/>
      <w:bCs/>
      <w:sz w:val="28"/>
      <w:szCs w:val="28"/>
    </w:rPr>
  </w:style>
  <w:style w:type="paragraph" w:styleId="959" w:customStyle="1">
    <w:name w:val="标题 51"/>
    <w:basedOn w:val="730"/>
    <w:next w:val="956"/>
    <w:link w:val="975"/>
    <w:qFormat/>
    <w:pPr>
      <w:keepNext/>
      <w:outlineLvl w:val="4"/>
    </w:pPr>
    <w:rPr>
      <w:rFonts w:ascii="宋体" w:hAnsi="Times New Roman"/>
      <w:color w:val="000000"/>
      <w:sz w:val="28"/>
      <w:szCs w:val="28"/>
    </w:rPr>
  </w:style>
  <w:style w:type="paragraph" w:styleId="960" w:customStyle="1">
    <w:name w:val="标题 61"/>
    <w:basedOn w:val="730"/>
    <w:next w:val="730"/>
    <w:link w:val="976"/>
    <w:qFormat/>
    <w:pPr>
      <w:numPr>
        <w:ilvl w:val="5"/>
        <w:numId w:val="1"/>
      </w:numPr>
      <w:keepLines/>
      <w:keepNext/>
      <w:spacing w:before="240" w:after="64" w:line="320" w:lineRule="auto"/>
      <w:outlineLvl w:val="5"/>
    </w:pPr>
    <w:rPr>
      <w:rFonts w:ascii="Arial" w:hAnsi="Arial" w:eastAsia="黑体"/>
      <w:b/>
      <w:bCs/>
      <w:sz w:val="24"/>
      <w:szCs w:val="24"/>
    </w:rPr>
  </w:style>
  <w:style w:type="paragraph" w:styleId="961" w:customStyle="1">
    <w:name w:val="标题 71"/>
    <w:basedOn w:val="730"/>
    <w:next w:val="730"/>
    <w:link w:val="977"/>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62" w:customStyle="1">
    <w:name w:val="标题 81"/>
    <w:basedOn w:val="730"/>
    <w:next w:val="730"/>
    <w:link w:val="978"/>
    <w:qFormat/>
    <w:pPr>
      <w:numPr>
        <w:ilvl w:val="7"/>
        <w:numId w:val="1"/>
      </w:numPr>
      <w:keepLines/>
      <w:keepNext/>
      <w:spacing w:before="240" w:after="64" w:line="320" w:lineRule="auto"/>
      <w:outlineLvl w:val="7"/>
    </w:pPr>
    <w:rPr>
      <w:rFonts w:ascii="Arial" w:hAnsi="Arial" w:eastAsia="黑体"/>
      <w:sz w:val="24"/>
      <w:szCs w:val="24"/>
    </w:rPr>
  </w:style>
  <w:style w:type="paragraph" w:styleId="963" w:customStyle="1">
    <w:name w:val="标题 91"/>
    <w:basedOn w:val="730"/>
    <w:next w:val="730"/>
    <w:link w:val="979"/>
    <w:qFormat/>
    <w:pPr>
      <w:numPr>
        <w:ilvl w:val="8"/>
        <w:numId w:val="1"/>
      </w:numPr>
      <w:keepLines/>
      <w:keepNext/>
      <w:spacing w:before="240" w:after="64" w:line="320" w:lineRule="auto"/>
      <w:outlineLvl w:val="8"/>
    </w:pPr>
    <w:rPr>
      <w:rFonts w:ascii="Arial" w:hAnsi="Arial" w:eastAsia="黑体"/>
      <w:szCs w:val="21"/>
    </w:rPr>
  </w:style>
  <w:style w:type="character" w:styleId="964" w:customStyle="1">
    <w:name w:val="默认段落字体1"/>
    <w:unhideWhenUsed/>
    <w:qFormat/>
  </w:style>
  <w:style w:type="table" w:styleId="965" w:customStyle="1">
    <w:name w:val="普通表格1"/>
    <w:uiPriority w:val="99"/>
    <w:unhideWhenUsed/>
    <w:qFormat/>
    <w:tblPr>
      <w:tblCellMar>
        <w:left w:w="0" w:type="dxa"/>
        <w:top w:w="0" w:type="dxa"/>
        <w:right w:w="0" w:type="dxa"/>
        <w:bottom w:w="0" w:type="dxa"/>
      </w:tblCellMar>
    </w:tblPr>
  </w:style>
  <w:style w:type="paragraph" w:styleId="966" w:customStyle="1">
    <w:name w:val="正文文本首行缩进"/>
    <w:basedOn w:val="967"/>
    <w:link w:val="969"/>
    <w:qFormat/>
    <w:pPr>
      <w:ind w:firstLine="200"/>
      <w:spacing w:line="360" w:lineRule="auto"/>
    </w:pPr>
    <w:rPr>
      <w:rFonts w:ascii="仿宋_GB2312" w:hAnsi="Times New Roman" w:eastAsia="仿宋_GB2312"/>
      <w:sz w:val="30"/>
      <w:szCs w:val="30"/>
    </w:rPr>
  </w:style>
  <w:style w:type="paragraph" w:styleId="967" w:customStyle="1">
    <w:name w:val="正文文本1"/>
    <w:basedOn w:val="730"/>
    <w:link w:val="968"/>
    <w:qFormat/>
    <w:rPr>
      <w:rFonts w:ascii="楷体_GB2312" w:hAnsi="Arial" w:eastAsia="楷体_GB2312"/>
      <w:sz w:val="28"/>
      <w:szCs w:val="28"/>
    </w:rPr>
  </w:style>
  <w:style w:type="character" w:styleId="968" w:customStyle="1">
    <w:name w:val="正文文本 字符"/>
    <w:link w:val="967"/>
    <w:qFormat/>
    <w:rPr>
      <w:rFonts w:ascii="楷体_GB2312" w:hAnsi="Arial" w:eastAsia="楷体_GB2312" w:cs="Times New Roman"/>
      <w:sz w:val="28"/>
      <w:szCs w:val="28"/>
    </w:rPr>
  </w:style>
  <w:style w:type="character" w:styleId="969" w:customStyle="1">
    <w:name w:val="正文文本首行缩进 字符"/>
    <w:link w:val="966"/>
    <w:qFormat/>
    <w:rPr>
      <w:rFonts w:ascii="仿宋_GB2312" w:hAnsi="Times New Roman" w:eastAsia="仿宋_GB2312" w:cs="Times New Roman"/>
      <w:sz w:val="30"/>
      <w:szCs w:val="30"/>
    </w:rPr>
  </w:style>
  <w:style w:type="character" w:styleId="970" w:customStyle="1">
    <w:name w:val="标题 1 字符"/>
    <w:link w:val="954"/>
    <w:qFormat/>
    <w:rPr>
      <w:rFonts w:ascii="楷体_GB2312" w:hAnsi="Times New Roman" w:eastAsia="楷体_GB2312" w:cs="Times New Roman"/>
      <w:sz w:val="28"/>
      <w:szCs w:val="28"/>
    </w:rPr>
  </w:style>
  <w:style w:type="character" w:styleId="971" w:customStyle="1">
    <w:name w:val="标题 2 字符"/>
    <w:link w:val="955"/>
    <w:qFormat/>
    <w:rPr>
      <w:rFonts w:ascii="Arial" w:hAnsi="Arial" w:eastAsia="幼圆" w:cs="Arial"/>
      <w:b/>
      <w:bCs/>
      <w:sz w:val="44"/>
      <w:szCs w:val="44"/>
    </w:rPr>
  </w:style>
  <w:style w:type="character" w:styleId="972" w:customStyle="1">
    <w:name w:val="正文缩进 字符"/>
    <w:link w:val="956"/>
    <w:qFormat/>
    <w:rPr>
      <w:rFonts w:ascii="Calibri" w:hAnsi="Calibri" w:eastAsia="宋体" w:cs="Times New Roman"/>
      <w:szCs w:val="21"/>
    </w:rPr>
  </w:style>
  <w:style w:type="character" w:styleId="973" w:customStyle="1">
    <w:name w:val="标题 3 字符"/>
    <w:link w:val="957"/>
    <w:qFormat/>
    <w:rPr>
      <w:rFonts w:ascii="Times New Roman" w:hAnsi="Times New Roman" w:eastAsia="宋体" w:cs="Times New Roman"/>
      <w:b/>
      <w:bCs/>
      <w:sz w:val="32"/>
      <w:szCs w:val="32"/>
    </w:rPr>
  </w:style>
  <w:style w:type="character" w:styleId="974" w:customStyle="1">
    <w:name w:val="标题 4 字符"/>
    <w:link w:val="958"/>
    <w:qFormat/>
    <w:rPr>
      <w:rFonts w:ascii="Arial" w:hAnsi="Arial" w:eastAsia="黑体" w:cs="Arial"/>
      <w:b/>
      <w:bCs/>
      <w:sz w:val="28"/>
      <w:szCs w:val="28"/>
    </w:rPr>
  </w:style>
  <w:style w:type="character" w:styleId="975" w:customStyle="1">
    <w:name w:val="标题 5 字符"/>
    <w:link w:val="959"/>
    <w:qFormat/>
    <w:rPr>
      <w:rFonts w:ascii="宋体" w:hAnsi="Times New Roman" w:eastAsia="宋体" w:cs="Times New Roman"/>
      <w:color w:val="000000"/>
      <w:sz w:val="28"/>
      <w:szCs w:val="28"/>
    </w:rPr>
  </w:style>
  <w:style w:type="character" w:styleId="976" w:customStyle="1">
    <w:name w:val="标题 6 字符"/>
    <w:link w:val="960"/>
    <w:qFormat/>
    <w:rPr>
      <w:rFonts w:ascii="Arial" w:hAnsi="Arial" w:eastAsia="黑体" w:cs="Times New Roman"/>
      <w:b/>
      <w:bCs/>
      <w:sz w:val="24"/>
      <w:szCs w:val="24"/>
    </w:rPr>
  </w:style>
  <w:style w:type="character" w:styleId="977" w:customStyle="1">
    <w:name w:val="标题 7 字符"/>
    <w:link w:val="961"/>
    <w:qFormat/>
    <w:rPr>
      <w:rFonts w:ascii="Times New Roman" w:hAnsi="Times New Roman" w:eastAsia="宋体" w:cs="Times New Roman"/>
      <w:b/>
      <w:bCs/>
      <w:sz w:val="24"/>
      <w:szCs w:val="24"/>
    </w:rPr>
  </w:style>
  <w:style w:type="character" w:styleId="978" w:customStyle="1">
    <w:name w:val="标题 8 字符"/>
    <w:link w:val="962"/>
    <w:qFormat/>
    <w:rPr>
      <w:rFonts w:ascii="Arial" w:hAnsi="Arial" w:eastAsia="黑体" w:cs="Times New Roman"/>
      <w:sz w:val="24"/>
      <w:szCs w:val="24"/>
    </w:rPr>
  </w:style>
  <w:style w:type="character" w:styleId="979" w:customStyle="1">
    <w:name w:val="标题 9 字符"/>
    <w:link w:val="963"/>
    <w:qFormat/>
    <w:rPr>
      <w:rFonts w:ascii="Arial" w:hAnsi="Arial" w:eastAsia="黑体" w:cs="Times New Roman"/>
      <w:szCs w:val="21"/>
    </w:rPr>
  </w:style>
  <w:style w:type="paragraph" w:styleId="980" w:customStyle="1">
    <w:name w:val="列表 31"/>
    <w:basedOn w:val="730"/>
    <w:qFormat/>
    <w:pPr>
      <w:ind w:left="100" w:hanging="200"/>
    </w:pPr>
    <w:rPr>
      <w:rFonts w:ascii="Times New Roman" w:hAnsi="Times New Roman"/>
      <w:szCs w:val="21"/>
    </w:rPr>
  </w:style>
  <w:style w:type="paragraph" w:styleId="981" w:customStyle="1">
    <w:name w:val="文档结构图1"/>
    <w:basedOn w:val="730"/>
    <w:link w:val="982"/>
    <w:semiHidden/>
    <w:qFormat/>
    <w:pPr>
      <w:shd w:val="clear" w:color="auto" w:fill="000080"/>
    </w:pPr>
    <w:rPr>
      <w:rFonts w:ascii="Times New Roman" w:hAnsi="Times New Roman"/>
      <w:szCs w:val="21"/>
    </w:rPr>
  </w:style>
  <w:style w:type="character" w:styleId="982" w:customStyle="1">
    <w:name w:val="文档结构图 字符"/>
    <w:link w:val="981"/>
    <w:uiPriority w:val="99"/>
    <w:qFormat/>
    <w:rPr>
      <w:rFonts w:ascii="Times New Roman" w:hAnsi="Times New Roman" w:eastAsia="宋体" w:cs="Times New Roman"/>
      <w:szCs w:val="21"/>
      <w:shd w:val="clear" w:color="auto" w:fill="000080"/>
    </w:rPr>
  </w:style>
  <w:style w:type="paragraph" w:styleId="983" w:customStyle="1">
    <w:name w:val="批注文字1"/>
    <w:basedOn w:val="730"/>
    <w:link w:val="984"/>
    <w:unhideWhenUsed/>
    <w:qFormat/>
    <w:pPr>
      <w:jc w:val="left"/>
    </w:pPr>
  </w:style>
  <w:style w:type="character" w:styleId="984" w:customStyle="1">
    <w:name w:val="批注文字 字符"/>
    <w:link w:val="983"/>
    <w:qFormat/>
    <w:rPr>
      <w:rFonts w:ascii="Calibri" w:hAnsi="Calibri" w:eastAsia="宋体" w:cs="Times New Roman"/>
    </w:rPr>
  </w:style>
  <w:style w:type="paragraph" w:styleId="985" w:customStyle="1">
    <w:name w:val="正文文本 31"/>
    <w:basedOn w:val="730"/>
    <w:link w:val="986"/>
    <w:qFormat/>
    <w:rPr>
      <w:rFonts w:ascii="仿宋_GB2312" w:hAnsi="Arial" w:eastAsia="仿宋_GB2312"/>
      <w:sz w:val="32"/>
      <w:szCs w:val="32"/>
    </w:rPr>
  </w:style>
  <w:style w:type="character" w:styleId="986" w:customStyle="1">
    <w:name w:val="正文文本 3 字符"/>
    <w:link w:val="985"/>
    <w:qFormat/>
    <w:rPr>
      <w:rFonts w:ascii="仿宋_GB2312" w:hAnsi="Arial" w:eastAsia="仿宋_GB2312" w:cs="Times New Roman"/>
      <w:sz w:val="32"/>
      <w:szCs w:val="32"/>
    </w:rPr>
  </w:style>
  <w:style w:type="paragraph" w:styleId="987" w:customStyle="1">
    <w:name w:val="正文文本缩进1"/>
    <w:basedOn w:val="988"/>
    <w:next w:val="730"/>
    <w:link w:val="989"/>
    <w:unhideWhenUsed/>
    <w:qFormat/>
    <w:pPr>
      <w:ind w:left="420"/>
      <w:spacing w:after="120"/>
    </w:pPr>
  </w:style>
  <w:style w:type="paragraph" w:styleId="988" w:customStyle="1">
    <w:name w:val="正文1"/>
    <w:link w:val="1102"/>
    <w:qFormat/>
    <w:pPr>
      <w:spacing w:line="560" w:lineRule="atLeast"/>
      <w:widowControl w:val="off"/>
    </w:pPr>
    <w:rPr>
      <w:sz w:val="28"/>
    </w:rPr>
  </w:style>
  <w:style w:type="character" w:styleId="989" w:customStyle="1">
    <w:name w:val="正文文本缩进 字符"/>
    <w:link w:val="987"/>
    <w:uiPriority w:val="99"/>
    <w:qFormat/>
    <w:rPr>
      <w:rFonts w:ascii="Calibri" w:hAnsi="Calibri" w:eastAsia="宋体" w:cs="Times New Roman"/>
    </w:rPr>
  </w:style>
  <w:style w:type="paragraph" w:styleId="990" w:customStyle="1">
    <w:name w:val="列表 21"/>
    <w:basedOn w:val="730"/>
    <w:qFormat/>
    <w:pPr>
      <w:ind w:left="100" w:hanging="200"/>
    </w:pPr>
    <w:rPr>
      <w:rFonts w:ascii="Times New Roman" w:hAnsi="Times New Roman"/>
      <w:szCs w:val="21"/>
    </w:rPr>
  </w:style>
  <w:style w:type="paragraph" w:styleId="991" w:customStyle="1">
    <w:name w:val="纯文本1"/>
    <w:basedOn w:val="730"/>
    <w:link w:val="992"/>
    <w:qFormat/>
    <w:rPr>
      <w:rFonts w:ascii="宋体" w:hAnsi="Courier New" w:cs="Courier New"/>
      <w:szCs w:val="21"/>
    </w:rPr>
  </w:style>
  <w:style w:type="character" w:styleId="992" w:customStyle="1">
    <w:name w:val="纯文本 字符"/>
    <w:link w:val="991"/>
    <w:qFormat/>
    <w:rPr>
      <w:rFonts w:ascii="宋体" w:hAnsi="Courier New" w:eastAsia="宋体" w:cs="Courier New"/>
      <w:szCs w:val="21"/>
    </w:rPr>
  </w:style>
  <w:style w:type="paragraph" w:styleId="993" w:customStyle="1">
    <w:name w:val="日期1"/>
    <w:basedOn w:val="730"/>
    <w:next w:val="730"/>
    <w:link w:val="994"/>
    <w:qFormat/>
    <w:rPr>
      <w:rFonts w:ascii="Times New Roman" w:hAnsi="Times New Roman"/>
      <w:sz w:val="24"/>
      <w:szCs w:val="24"/>
    </w:rPr>
  </w:style>
  <w:style w:type="character" w:styleId="994" w:customStyle="1">
    <w:name w:val="日期 字符"/>
    <w:link w:val="993"/>
    <w:qFormat/>
    <w:rPr>
      <w:rFonts w:ascii="Times New Roman" w:hAnsi="Times New Roman" w:eastAsia="宋体" w:cs="Times New Roman"/>
      <w:sz w:val="24"/>
      <w:szCs w:val="24"/>
    </w:rPr>
  </w:style>
  <w:style w:type="paragraph" w:styleId="995" w:customStyle="1">
    <w:name w:val="正文文本缩进 21"/>
    <w:basedOn w:val="730"/>
    <w:link w:val="996"/>
    <w:qFormat/>
    <w:pPr>
      <w:ind w:left="630" w:firstLine="645"/>
    </w:pPr>
    <w:rPr>
      <w:rFonts w:ascii="Arial" w:hAnsi="Arial" w:eastAsia="仿宋_GB2312" w:cs="Arial"/>
      <w:sz w:val="32"/>
      <w:szCs w:val="32"/>
    </w:rPr>
  </w:style>
  <w:style w:type="character" w:styleId="996" w:customStyle="1">
    <w:name w:val="正文文本缩进 2 字符"/>
    <w:link w:val="995"/>
    <w:qFormat/>
    <w:rPr>
      <w:rFonts w:ascii="Arial" w:hAnsi="Arial" w:eastAsia="仿宋_GB2312" w:cs="Arial"/>
      <w:sz w:val="32"/>
      <w:szCs w:val="32"/>
    </w:rPr>
  </w:style>
  <w:style w:type="paragraph" w:styleId="997" w:customStyle="1">
    <w:name w:val="批注框文本1"/>
    <w:basedOn w:val="730"/>
    <w:link w:val="998"/>
    <w:semiHidden/>
    <w:qFormat/>
    <w:rPr>
      <w:rFonts w:ascii="Times New Roman" w:hAnsi="Times New Roman"/>
      <w:sz w:val="18"/>
      <w:szCs w:val="18"/>
    </w:rPr>
  </w:style>
  <w:style w:type="character" w:styleId="998" w:customStyle="1">
    <w:name w:val="批注框文本 字符"/>
    <w:link w:val="997"/>
    <w:semiHidden/>
    <w:qFormat/>
    <w:rPr>
      <w:rFonts w:ascii="Times New Roman" w:hAnsi="Times New Roman" w:eastAsia="宋体" w:cs="Times New Roman"/>
      <w:sz w:val="18"/>
      <w:szCs w:val="18"/>
    </w:rPr>
  </w:style>
  <w:style w:type="paragraph" w:styleId="999" w:customStyle="1">
    <w:name w:val="页脚1"/>
    <w:basedOn w:val="730"/>
    <w:link w:val="1000"/>
    <w:qFormat/>
    <w:pPr>
      <w:jc w:val="left"/>
      <w:tabs>
        <w:tab w:val="center" w:pos="4153" w:leader="none"/>
        <w:tab w:val="right" w:pos="8306" w:leader="none"/>
      </w:tabs>
    </w:pPr>
    <w:rPr>
      <w:rFonts w:ascii="Times New Roman" w:hAnsi="Times New Roman"/>
      <w:sz w:val="18"/>
      <w:szCs w:val="18"/>
    </w:rPr>
  </w:style>
  <w:style w:type="character" w:styleId="1000" w:customStyle="1">
    <w:name w:val="页脚 字符"/>
    <w:link w:val="999"/>
    <w:uiPriority w:val="99"/>
    <w:qFormat/>
    <w:rPr>
      <w:rFonts w:ascii="Times New Roman" w:hAnsi="Times New Roman" w:eastAsia="宋体" w:cs="Times New Roman"/>
      <w:sz w:val="18"/>
      <w:szCs w:val="18"/>
    </w:rPr>
  </w:style>
  <w:style w:type="paragraph" w:styleId="1001" w:customStyle="1">
    <w:name w:val="页眉1"/>
    <w:basedOn w:val="730"/>
    <w:link w:val="1002"/>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02" w:customStyle="1">
    <w:name w:val="页眉 字符"/>
    <w:link w:val="1001"/>
    <w:qFormat/>
    <w:rPr>
      <w:rFonts w:ascii="Times New Roman" w:hAnsi="Times New Roman" w:eastAsia="宋体" w:cs="Times New Roman"/>
      <w:sz w:val="18"/>
      <w:szCs w:val="18"/>
    </w:rPr>
  </w:style>
  <w:style w:type="paragraph" w:styleId="1003" w:customStyle="1">
    <w:name w:val="列表1"/>
    <w:basedOn w:val="730"/>
    <w:qFormat/>
    <w:pPr>
      <w:ind w:left="200" w:hanging="200"/>
    </w:pPr>
    <w:rPr>
      <w:rFonts w:ascii="Times New Roman" w:hAnsi="Times New Roman"/>
      <w:szCs w:val="21"/>
    </w:rPr>
  </w:style>
  <w:style w:type="paragraph" w:styleId="1004" w:customStyle="1">
    <w:name w:val="正文文本缩进 31"/>
    <w:basedOn w:val="730"/>
    <w:link w:val="1005"/>
    <w:qFormat/>
    <w:pPr>
      <w:ind w:left="645" w:firstLine="645"/>
    </w:pPr>
    <w:rPr>
      <w:rFonts w:ascii="Arial" w:hAnsi="Arial" w:eastAsia="仿宋_GB2312" w:cs="Arial"/>
      <w:color w:val="ffff00"/>
      <w:sz w:val="32"/>
      <w:szCs w:val="32"/>
    </w:rPr>
  </w:style>
  <w:style w:type="character" w:styleId="1005" w:customStyle="1">
    <w:name w:val="正文文本缩进 3 字符"/>
    <w:link w:val="1004"/>
    <w:qFormat/>
    <w:rPr>
      <w:rFonts w:ascii="Arial" w:hAnsi="Arial" w:eastAsia="仿宋_GB2312" w:cs="Arial"/>
      <w:color w:val="ffff00"/>
      <w:sz w:val="32"/>
      <w:szCs w:val="32"/>
    </w:rPr>
  </w:style>
  <w:style w:type="paragraph" w:styleId="1006" w:customStyle="1">
    <w:name w:val="图表目录1"/>
    <w:basedOn w:val="730"/>
    <w:next w:val="730"/>
    <w:semiHidden/>
    <w:qFormat/>
    <w:pPr>
      <w:ind w:left="840" w:hanging="420"/>
    </w:pPr>
    <w:rPr>
      <w:rFonts w:ascii="Times New Roman" w:hAnsi="Times New Roman"/>
      <w:szCs w:val="21"/>
    </w:rPr>
  </w:style>
  <w:style w:type="paragraph" w:styleId="1007" w:customStyle="1">
    <w:name w:val="正文文本 21"/>
    <w:basedOn w:val="730"/>
    <w:link w:val="1008"/>
    <w:qFormat/>
    <w:pPr>
      <w:jc w:val="center"/>
      <w:widowControl/>
    </w:pPr>
    <w:rPr>
      <w:rFonts w:ascii="楷体_GB2312" w:hAnsi="Times New Roman" w:eastAsia="楷体_GB2312"/>
      <w:sz w:val="28"/>
      <w:szCs w:val="28"/>
    </w:rPr>
  </w:style>
  <w:style w:type="character" w:styleId="1008" w:customStyle="1">
    <w:name w:val="正文文本 2 字符"/>
    <w:link w:val="1007"/>
    <w:qFormat/>
    <w:rPr>
      <w:rFonts w:ascii="楷体_GB2312" w:hAnsi="Times New Roman" w:eastAsia="楷体_GB2312" w:cs="Times New Roman"/>
      <w:sz w:val="28"/>
      <w:szCs w:val="28"/>
    </w:rPr>
  </w:style>
  <w:style w:type="paragraph" w:styleId="1009" w:customStyle="1">
    <w:name w:val="普通(网站)1"/>
    <w:basedOn w:val="730"/>
    <w:qFormat/>
    <w:pPr>
      <w:jc w:val="left"/>
      <w:spacing w:before="100" w:beforeAutospacing="1" w:after="100" w:afterAutospacing="1"/>
      <w:widowControl/>
    </w:pPr>
    <w:rPr>
      <w:rFonts w:ascii="宋体" w:hAnsi="宋体" w:cs="宋体"/>
      <w:sz w:val="24"/>
      <w:szCs w:val="24"/>
    </w:rPr>
  </w:style>
  <w:style w:type="paragraph" w:styleId="1010" w:customStyle="1">
    <w:name w:val="索引 11"/>
    <w:basedOn w:val="730"/>
    <w:next w:val="730"/>
    <w:semiHidden/>
    <w:qFormat/>
    <w:pPr>
      <w:spacing w:line="240" w:lineRule="atLeast"/>
    </w:pPr>
    <w:rPr>
      <w:rFonts w:ascii="Times New Roman" w:hAnsi="Times New Roman"/>
      <w:b/>
      <w:bCs/>
      <w:szCs w:val="21"/>
    </w:rPr>
  </w:style>
  <w:style w:type="paragraph" w:styleId="1011" w:customStyle="1">
    <w:name w:val="批注主题1"/>
    <w:basedOn w:val="983"/>
    <w:next w:val="983"/>
    <w:link w:val="1012"/>
    <w:semiHidden/>
    <w:qFormat/>
    <w:rPr>
      <w:rFonts w:ascii="Times New Roman" w:hAnsi="Times New Roman"/>
      <w:b/>
      <w:bCs/>
      <w:szCs w:val="21"/>
    </w:rPr>
  </w:style>
  <w:style w:type="character" w:styleId="1012" w:customStyle="1">
    <w:name w:val="批注主题 字符"/>
    <w:link w:val="1011"/>
    <w:semiHidden/>
    <w:qFormat/>
    <w:rPr>
      <w:rFonts w:ascii="Times New Roman" w:hAnsi="Times New Roman" w:eastAsia="宋体" w:cs="Times New Roman"/>
      <w:b/>
      <w:bCs/>
      <w:szCs w:val="21"/>
    </w:rPr>
  </w:style>
  <w:style w:type="paragraph" w:styleId="1013" w:customStyle="1">
    <w:name w:val="正文文本首行缩进 2"/>
    <w:basedOn w:val="987"/>
    <w:link w:val="1014"/>
    <w:qFormat/>
    <w:pPr>
      <w:ind w:left="0" w:firstLine="420"/>
      <w:spacing w:after="0" w:line="360" w:lineRule="auto"/>
    </w:pPr>
    <w:rPr>
      <w:rFonts w:ascii="宋体" w:hAnsi="宋体"/>
    </w:rPr>
  </w:style>
  <w:style w:type="character" w:styleId="1014" w:customStyle="1">
    <w:name w:val="正文文本首行缩进 2 字符"/>
    <w:link w:val="1013"/>
    <w:qFormat/>
    <w:rPr>
      <w:rFonts w:ascii="宋体" w:hAnsi="宋体" w:eastAsia="宋体" w:cs="Times New Roman"/>
      <w:szCs w:val="20"/>
    </w:rPr>
  </w:style>
  <w:style w:type="table" w:styleId="1015" w:customStyle="1">
    <w:name w:val="网格型1"/>
    <w:basedOn w:val="965"/>
    <w:qFormat/>
    <w:pPr>
      <w:jc w:val="both"/>
      <w:widowControl w:val="off"/>
    </w:pPr>
    <w:tblPr/>
  </w:style>
  <w:style w:type="character" w:styleId="1016" w:customStyle="1">
    <w:name w:val="要点1"/>
    <w:qFormat/>
    <w:rPr>
      <w:b/>
      <w:bCs/>
    </w:rPr>
  </w:style>
  <w:style w:type="character" w:styleId="1017" w:customStyle="1">
    <w:name w:val="页码1"/>
    <w:qFormat/>
  </w:style>
  <w:style w:type="character" w:styleId="1018" w:customStyle="1">
    <w:name w:val="访问过的超链接1"/>
    <w:qFormat/>
    <w:rPr>
      <w:color w:val="800080"/>
      <w:u w:val="single"/>
    </w:rPr>
  </w:style>
  <w:style w:type="character" w:styleId="1019" w:customStyle="1">
    <w:name w:val="超链接1"/>
    <w:qFormat/>
    <w:rPr>
      <w:color w:val="0000ff"/>
      <w:u w:val="single"/>
    </w:rPr>
  </w:style>
  <w:style w:type="character" w:styleId="1020" w:customStyle="1">
    <w:name w:val="批注引用1"/>
    <w:semiHidden/>
    <w:qFormat/>
    <w:rPr>
      <w:sz w:val="21"/>
      <w:szCs w:val="21"/>
    </w:rPr>
  </w:style>
  <w:style w:type="character" w:styleId="1021" w:customStyle="1">
    <w:name w:val="font5 Char"/>
    <w:qFormat/>
    <w:rPr>
      <w:rFonts w:ascii="宋体" w:hAnsi="宋体" w:eastAsia="宋体"/>
      <w:sz w:val="28"/>
      <w:szCs w:val="28"/>
      <w:lang w:val="en-US" w:eastAsia="zh-CN" w:bidi="ar-SA"/>
    </w:rPr>
  </w:style>
  <w:style w:type="character" w:styleId="1022" w:customStyle="1">
    <w:name w:val="二级目录 Char"/>
    <w:link w:val="1023"/>
    <w:qFormat/>
    <w:rPr>
      <w:rFonts w:ascii="Calibri" w:hAnsi="Calibri"/>
      <w:b/>
      <w:sz w:val="30"/>
      <w:szCs w:val="28"/>
    </w:rPr>
  </w:style>
  <w:style w:type="paragraph" w:styleId="1023" w:customStyle="1">
    <w:name w:val="二级目录"/>
    <w:next w:val="730"/>
    <w:link w:val="1022"/>
    <w:qFormat/>
    <w:pPr>
      <w:ind w:left="907" w:hanging="907"/>
      <w:tabs>
        <w:tab w:val="left" w:pos="907" w:leader="none"/>
        <w:tab w:val="left" w:pos="1145" w:leader="none"/>
      </w:tabs>
      <w:outlineLvl w:val="1"/>
    </w:pPr>
    <w:rPr>
      <w:rFonts w:ascii="Calibri" w:hAnsi="Calibri"/>
      <w:b/>
      <w:sz w:val="30"/>
      <w:szCs w:val="28"/>
    </w:rPr>
  </w:style>
  <w:style w:type="character" w:styleId="1024" w:customStyle="1">
    <w:name w:val="列出段落 Char"/>
    <w:link w:val="1025"/>
    <w:qFormat/>
    <w:rPr>
      <w:rFonts w:ascii="Calibri" w:hAnsi="Calibri"/>
      <w:sz w:val="24"/>
      <w:szCs w:val="24"/>
      <w:lang w:eastAsia="en-US" w:bidi="en-US"/>
    </w:rPr>
  </w:style>
  <w:style w:type="paragraph" w:styleId="1025" w:customStyle="1">
    <w:name w:val="列出段落1"/>
    <w:basedOn w:val="730"/>
    <w:link w:val="1024"/>
    <w:uiPriority w:val="34"/>
    <w:qFormat/>
    <w:pPr>
      <w:contextualSpacing/>
      <w:ind w:left="720"/>
      <w:jc w:val="left"/>
      <w:widowControl/>
    </w:pPr>
    <w:rPr>
      <w:sz w:val="24"/>
      <w:szCs w:val="24"/>
      <w:lang w:eastAsia="en-US" w:bidi="en-US"/>
    </w:rPr>
  </w:style>
  <w:style w:type="paragraph" w:styleId="1026" w:customStyle="1">
    <w:name w:val="Body Text(ch)"/>
    <w:basedOn w:val="730"/>
    <w:next w:val="967"/>
    <w:qFormat/>
    <w:pPr>
      <w:spacing w:after="120"/>
    </w:pPr>
    <w:rPr>
      <w:rFonts w:ascii="宋体" w:hAnsi="Arial"/>
      <w:bCs/>
      <w:iCs/>
      <w:szCs w:val="24"/>
    </w:rPr>
  </w:style>
  <w:style w:type="paragraph" w:styleId="1027" w:customStyle="1">
    <w:name w:val="xl27"/>
    <w:basedOn w:val="73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6"/>
    <w:basedOn w:val="7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9" w:customStyle="1">
    <w:name w:val="Char"/>
    <w:basedOn w:val="730"/>
    <w:qFormat/>
    <w:pPr>
      <w:ind w:firstLine="200"/>
      <w:tabs>
        <w:tab w:val="left" w:pos="360" w:leader="none"/>
      </w:tabs>
    </w:pPr>
    <w:rPr>
      <w:rFonts w:ascii="Times New Roman" w:hAnsi="Times New Roman"/>
      <w:sz w:val="28"/>
      <w:szCs w:val="30"/>
    </w:rPr>
  </w:style>
  <w:style w:type="paragraph" w:styleId="1030" w:customStyle="1">
    <w:name w:val="Char1"/>
    <w:basedOn w:val="981"/>
    <w:qFormat/>
    <w:rPr>
      <w:rFonts w:ascii="Tahoma" w:hAnsi="Tahoma"/>
      <w:sz w:val="24"/>
      <w:szCs w:val="24"/>
    </w:rPr>
  </w:style>
  <w:style w:type="paragraph" w:styleId="1031" w:customStyle="1">
    <w:name w:val="普通正文"/>
    <w:basedOn w:val="730"/>
    <w:qFormat/>
    <w:pPr>
      <w:ind w:firstLine="480"/>
      <w:jc w:val="left"/>
      <w:spacing w:before="120" w:after="120" w:line="360" w:lineRule="auto"/>
    </w:pPr>
    <w:rPr>
      <w:rFonts w:ascii="Arial" w:hAnsi="Arial"/>
      <w:sz w:val="24"/>
      <w:szCs w:val="24"/>
    </w:rPr>
  </w:style>
  <w:style w:type="paragraph" w:styleId="1032" w:customStyle="1">
    <w:name w:val="table_lines"/>
    <w:basedOn w:val="730"/>
    <w:qFormat/>
    <w:pPr>
      <w:jc w:val="left"/>
      <w:widowControl/>
    </w:pPr>
    <w:rPr>
      <w:rFonts w:ascii="Times New Roman" w:hAnsi="Times New Roman"/>
      <w:sz w:val="20"/>
      <w:szCs w:val="20"/>
      <w:lang w:val="de-DE" w:eastAsia="de-DE"/>
    </w:rPr>
  </w:style>
  <w:style w:type="paragraph" w:styleId="1033" w:customStyle="1">
    <w:name w:val="附录1"/>
    <w:qFormat/>
    <w:pPr>
      <w:numPr>
        <w:numId w:val="2"/>
      </w:numPr>
      <w:spacing w:before="240" w:line="600" w:lineRule="atLeast"/>
    </w:pPr>
    <w:rPr>
      <w:b/>
      <w:i/>
      <w:sz w:val="28"/>
    </w:rPr>
  </w:style>
  <w:style w:type="paragraph" w:styleId="1034" w:customStyle="1">
    <w:name w:val="font7"/>
    <w:basedOn w:val="730"/>
    <w:qFormat/>
    <w:pPr>
      <w:jc w:val="left"/>
      <w:spacing w:before="100" w:beforeAutospacing="1" w:after="100" w:afterAutospacing="1"/>
      <w:widowControl/>
    </w:pPr>
    <w:rPr>
      <w:rFonts w:hint="eastAsia" w:ascii="宋体" w:hAnsi="宋体"/>
      <w:sz w:val="18"/>
      <w:szCs w:val="18"/>
    </w:rPr>
  </w:style>
  <w:style w:type="paragraph" w:styleId="1035" w:customStyle="1">
    <w:name w:val="Char Char Char Char"/>
    <w:basedOn w:val="981"/>
    <w:qFormat/>
    <w:pPr>
      <w:spacing w:line="360" w:lineRule="auto"/>
    </w:pPr>
    <w:rPr>
      <w:rFonts w:ascii="Tahoma" w:hAnsi="Tahoma"/>
      <w:sz w:val="24"/>
      <w:szCs w:val="24"/>
    </w:rPr>
  </w:style>
  <w:style w:type="paragraph" w:styleId="1036" w:customStyle="1">
    <w:name w:val="列表段落"/>
    <w:basedOn w:val="730"/>
    <w:qFormat/>
    <w:pPr>
      <w:contextualSpacing/>
      <w:ind w:left="720"/>
      <w:jc w:val="left"/>
      <w:widowControl/>
    </w:pPr>
    <w:rPr>
      <w:sz w:val="24"/>
      <w:szCs w:val="24"/>
      <w:lang w:eastAsia="en-US" w:bidi="en-US"/>
    </w:rPr>
  </w:style>
  <w:style w:type="paragraph" w:styleId="1037" w:customStyle="1">
    <w:name w:val="4"/>
    <w:basedOn w:val="730"/>
    <w:next w:val="1004"/>
    <w:qFormat/>
    <w:pPr>
      <w:ind w:firstLine="420"/>
      <w:spacing w:line="360" w:lineRule="auto"/>
    </w:pPr>
    <w:rPr>
      <w:rFonts w:ascii="Times New Roman" w:hAnsi="Times New Roman"/>
      <w:color w:val="ff0000"/>
      <w:sz w:val="24"/>
      <w:szCs w:val="24"/>
    </w:rPr>
  </w:style>
  <w:style w:type="paragraph" w:styleId="1038" w:customStyle="1">
    <w:name w:val="普通 (Web)"/>
    <w:basedOn w:val="73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730"/>
    <w:qFormat/>
    <w:pPr>
      <w:spacing w:line="360" w:lineRule="auto"/>
    </w:pPr>
    <w:rPr>
      <w:rFonts w:ascii="Times New Roman" w:hAnsi="Times New Roman"/>
      <w:sz w:val="24"/>
      <w:szCs w:val="20"/>
    </w:rPr>
  </w:style>
  <w:style w:type="paragraph" w:styleId="1040" w:customStyle="1">
    <w:name w:val="样式1"/>
    <w:basedOn w:val="730"/>
    <w:qFormat/>
    <w:pPr>
      <w:numPr>
        <w:numId w:val="3"/>
      </w:numPr>
    </w:pPr>
    <w:rPr>
      <w:rFonts w:ascii="宋体" w:hAnsi="宋体"/>
      <w:szCs w:val="21"/>
    </w:rPr>
  </w:style>
  <w:style w:type="paragraph" w:styleId="1041" w:customStyle="1">
    <w:name w:val="font6"/>
    <w:basedOn w:val="73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73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30"/>
    <w:next w:val="73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4" w:customStyle="1">
    <w:name w:val="标题3"/>
    <w:basedOn w:val="730"/>
    <w:next w:val="730"/>
    <w:link w:val="1228"/>
    <w:qFormat/>
    <w:pPr>
      <w:ind w:firstLine="624"/>
      <w:spacing w:line="590" w:lineRule="atLeast"/>
    </w:pPr>
    <w:rPr>
      <w:rFonts w:ascii="方正黑体_GBK" w:hAnsi="Times New Roman" w:eastAsia="方正黑体_GBK"/>
      <w:sz w:val="32"/>
      <w:szCs w:val="32"/>
    </w:rPr>
  </w:style>
  <w:style w:type="paragraph" w:styleId="1045" w:customStyle="1">
    <w:name w:val="xl24"/>
    <w:basedOn w:val="73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9"/>
    <w:basedOn w:val="73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Char Char Char Char Char Char Char Char"/>
    <w:basedOn w:val="730"/>
    <w:qFormat/>
    <w:pPr>
      <w:jc w:val="left"/>
      <w:spacing w:after="160" w:line="240" w:lineRule="exact"/>
      <w:widowControl/>
    </w:pPr>
    <w:rPr>
      <w:rFonts w:ascii="Verdana" w:hAnsi="Verdana"/>
      <w:sz w:val="20"/>
      <w:szCs w:val="20"/>
      <w:lang w:eastAsia="en-US"/>
    </w:rPr>
  </w:style>
  <w:style w:type="paragraph" w:styleId="1048" w:customStyle="1">
    <w:name w:val="xl28"/>
    <w:basedOn w:val="73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customStyle="1">
    <w:name w:val="Char Char Char Char Char Char Char Char1"/>
    <w:basedOn w:val="730"/>
    <w:qFormat/>
    <w:pPr>
      <w:jc w:val="left"/>
      <w:spacing w:after="160" w:line="240" w:lineRule="exact"/>
      <w:widowControl/>
    </w:pPr>
    <w:rPr>
      <w:rFonts w:ascii="Verdana" w:hAnsi="Verdana"/>
      <w:sz w:val="20"/>
      <w:szCs w:val="20"/>
      <w:lang w:eastAsia="en-US"/>
    </w:rPr>
  </w:style>
  <w:style w:type="paragraph" w:styleId="1050" w:customStyle="1">
    <w:name w:val="xl30"/>
    <w:basedOn w:val="73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
    <w:basedOn w:val="981"/>
    <w:qFormat/>
    <w:pPr>
      <w:spacing w:line="360" w:lineRule="auto"/>
    </w:pPr>
    <w:rPr>
      <w:rFonts w:ascii="Tahoma" w:hAnsi="Tahoma"/>
      <w:sz w:val="24"/>
      <w:szCs w:val="24"/>
    </w:rPr>
  </w:style>
  <w:style w:type="paragraph" w:styleId="1052" w:customStyle="1">
    <w:name w:val="table_1stline"/>
    <w:basedOn w:val="730"/>
    <w:qFormat/>
    <w:pPr>
      <w:jc w:val="left"/>
      <w:spacing w:before="120"/>
      <w:widowControl/>
    </w:pPr>
    <w:rPr>
      <w:rFonts w:ascii="Times New Roman" w:hAnsi="Times New Roman"/>
      <w:bCs/>
      <w:sz w:val="20"/>
      <w:szCs w:val="20"/>
      <w:lang w:val="de-DE" w:eastAsia="de-DE"/>
    </w:rPr>
  </w:style>
  <w:style w:type="paragraph" w:styleId="1053" w:customStyle="1">
    <w:name w:val="font5"/>
    <w:basedOn w:val="73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730"/>
    <w:next w:val="73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55" w:customStyle="1">
    <w:name w:val="修订1"/>
    <w:uiPriority w:val="99"/>
    <w:semiHidden/>
    <w:qFormat/>
    <w:rPr>
      <w:sz w:val="21"/>
      <w:szCs w:val="21"/>
    </w:rPr>
  </w:style>
  <w:style w:type="paragraph" w:styleId="1056" w:customStyle="1">
    <w:name w:val="无间隔1"/>
    <w:uiPriority w:val="99"/>
    <w:qFormat/>
    <w:pPr>
      <w:jc w:val="both"/>
      <w:widowControl w:val="off"/>
    </w:pPr>
    <w:rPr>
      <w:sz w:val="21"/>
      <w:szCs w:val="21"/>
    </w:rPr>
  </w:style>
  <w:style w:type="paragraph" w:styleId="1057" w:customStyle="1">
    <w:name w:val="列表段落1"/>
    <w:basedOn w:val="730"/>
    <w:uiPriority w:val="34"/>
    <w:qFormat/>
    <w:pPr>
      <w:ind w:firstLine="420"/>
    </w:pPr>
    <w:rPr>
      <w:rFonts w:ascii="Times New Roman" w:hAnsi="Times New Roman"/>
    </w:rPr>
  </w:style>
  <w:style w:type="paragraph" w:styleId="1058" w:customStyle="1">
    <w:name w:val="_Style 116"/>
    <w:basedOn w:val="730"/>
    <w:next w:val="1036"/>
    <w:qFormat/>
    <w:pPr>
      <w:contextualSpacing/>
      <w:ind w:left="720"/>
      <w:jc w:val="left"/>
      <w:widowControl/>
    </w:pPr>
    <w:rPr>
      <w:sz w:val="24"/>
      <w:szCs w:val="24"/>
      <w:lang w:eastAsia="en-US" w:bidi="en-US"/>
    </w:rPr>
  </w:style>
  <w:style w:type="paragraph" w:styleId="1059" w:customStyle="1">
    <w:name w:val="正文空两格"/>
    <w:basedOn w:val="730"/>
    <w:qFormat/>
    <w:pPr>
      <w:ind w:firstLine="200"/>
    </w:pPr>
    <w:rPr>
      <w:rFonts w:ascii="Times New Roman" w:hAnsi="Times New Roman"/>
      <w:szCs w:val="21"/>
    </w:rPr>
  </w:style>
  <w:style w:type="character" w:styleId="1060" w:customStyle="1">
    <w:name w:val="纯文本 Char"/>
    <w:qFormat/>
    <w:rPr>
      <w:rFonts w:ascii="宋体" w:hAnsi="Courier New" w:eastAsia="宋体" w:cs="Courier New"/>
      <w:szCs w:val="21"/>
    </w:rPr>
  </w:style>
  <w:style w:type="paragraph" w:styleId="1061" w:customStyle="1">
    <w:name w:val="black1"/>
    <w:basedOn w:val="730"/>
    <w:uiPriority w:val="99"/>
    <w:qFormat/>
    <w:pPr>
      <w:jc w:val="left"/>
      <w:spacing w:before="100" w:beforeAutospacing="1" w:after="100" w:afterAutospacing="1"/>
      <w:widowControl/>
    </w:pPr>
    <w:rPr>
      <w:rFonts w:ascii="宋体" w:hAnsi="宋体"/>
      <w:sz w:val="24"/>
    </w:rPr>
  </w:style>
  <w:style w:type="character" w:styleId="1062" w:customStyle="1">
    <w:name w:val="l-btn-left"/>
    <w:basedOn w:val="740"/>
    <w:qFormat/>
  </w:style>
  <w:style w:type="character" w:styleId="1063" w:customStyle="1">
    <w:name w:val="current"/>
    <w:basedOn w:val="740"/>
    <w:rPr>
      <w:b/>
      <w:bCs/>
      <w:color w:val="05a7d8"/>
      <w:sz w:val="18"/>
      <w:szCs w:val="18"/>
    </w:rPr>
  </w:style>
  <w:style w:type="character" w:styleId="1064" w:customStyle="1">
    <w:name w:val="l-btn-text36"/>
    <w:basedOn w:val="740"/>
  </w:style>
  <w:style w:type="paragraph" w:styleId="1065" w:customStyle="1">
    <w:name w:val="段"/>
    <w:basedOn w:val="730"/>
    <w:next w:val="730"/>
    <w:qFormat/>
    <w:pPr>
      <w:ind w:firstLine="200"/>
      <w:spacing w:line="360" w:lineRule="auto"/>
      <w:widowControl/>
    </w:pPr>
    <w:rPr>
      <w:rFonts w:ascii="宋体" w:hAnsi="宋体" w:cs="宋体"/>
      <w:sz w:val="24"/>
    </w:rPr>
  </w:style>
  <w:style w:type="paragraph" w:styleId="1066" w:customStyle="1">
    <w:name w:val="无间隔11"/>
    <w:basedOn w:val="730"/>
    <w:uiPriority w:val="1"/>
    <w:qFormat/>
    <w:pPr>
      <w:ind w:firstLine="200"/>
      <w:jc w:val="left"/>
      <w:spacing w:line="360" w:lineRule="auto"/>
      <w:widowControl/>
    </w:pPr>
    <w:rPr>
      <w:rFonts w:ascii="宋体" w:hAnsi="宋体"/>
      <w:sz w:val="24"/>
    </w:rPr>
  </w:style>
  <w:style w:type="paragraph" w:styleId="1067" w:customStyle="1">
    <w:name w:val="正文11"/>
    <w:next w:val="730"/>
    <w:qFormat/>
    <w:pPr>
      <w:jc w:val="both"/>
      <w:widowControl w:val="off"/>
    </w:pPr>
    <w:rPr>
      <w:rFonts w:ascii="楷体_GB2312" w:eastAsia="楷体_GB2312"/>
      <w:color w:val="000000"/>
      <w:sz w:val="19"/>
      <w:szCs w:val="19"/>
    </w:rPr>
  </w:style>
  <w:style w:type="character" w:styleId="1068" w:customStyle="1">
    <w:name w:val="普通(网站) Char"/>
    <w:link w:val="777"/>
    <w:uiPriority w:val="99"/>
    <w:qFormat/>
    <w:rPr>
      <w:rFonts w:ascii="Calibri" w:hAnsi="Calibri"/>
      <w:sz w:val="21"/>
      <w:szCs w:val="22"/>
    </w:rPr>
  </w:style>
  <w:style w:type="character" w:styleId="1069" w:customStyle="1">
    <w:name w:val="正文缩进 Char"/>
    <w:link w:val="743"/>
    <w:rPr>
      <w:szCs w:val="21"/>
    </w:rPr>
  </w:style>
  <w:style w:type="character" w:styleId="1070" w:customStyle="1">
    <w:name w:val="题注 Char"/>
    <w:link w:val="750"/>
    <w:qFormat/>
    <w:rPr>
      <w:rFonts w:ascii="Calibri" w:hAnsi="Calibri"/>
      <w:b/>
      <w:bCs/>
      <w:color w:val="4f81bd" w:themeColor="accent1"/>
      <w:sz w:val="18"/>
      <w:szCs w:val="18"/>
    </w:rPr>
  </w:style>
  <w:style w:type="character" w:styleId="1071" w:customStyle="1">
    <w:name w:val="文档结构图 Char"/>
    <w:basedOn w:val="740"/>
    <w:link w:val="752"/>
    <w:uiPriority w:val="99"/>
    <w:qFormat/>
    <w:rPr>
      <w:rFonts w:ascii="宋体" w:hAnsi="Calibri"/>
      <w:sz w:val="18"/>
      <w:szCs w:val="18"/>
    </w:rPr>
  </w:style>
  <w:style w:type="character" w:styleId="1072" w:customStyle="1">
    <w:name w:val="批注文字 Char"/>
    <w:basedOn w:val="740"/>
    <w:link w:val="745"/>
    <w:qFormat/>
    <w:rPr>
      <w:rFonts w:ascii="Calibri" w:hAnsi="Calibri"/>
      <w:sz w:val="28"/>
      <w:szCs w:val="24"/>
    </w:rPr>
  </w:style>
  <w:style w:type="character" w:styleId="1073" w:customStyle="1">
    <w:name w:val="正文文本 Char"/>
    <w:link w:val="748"/>
    <w:qFormat/>
    <w:rPr>
      <w:rFonts w:ascii="楷体_GB2312" w:hAnsi="Arial" w:eastAsia="楷体_GB2312"/>
      <w:sz w:val="28"/>
      <w:szCs w:val="28"/>
    </w:rPr>
  </w:style>
  <w:style w:type="character" w:styleId="1074" w:customStyle="1">
    <w:name w:val="正文文本缩进 Char"/>
    <w:basedOn w:val="740"/>
    <w:qFormat/>
    <w:rPr>
      <w:rFonts w:ascii="Calibri" w:hAnsi="Calibri"/>
      <w:sz w:val="21"/>
      <w:szCs w:val="22"/>
    </w:rPr>
  </w:style>
  <w:style w:type="character" w:styleId="1075" w:customStyle="1">
    <w:name w:val="正文文本缩进 Char1"/>
    <w:link w:val="753"/>
    <w:qFormat/>
    <w:rPr>
      <w:rFonts w:ascii="Calibri" w:hAnsi="Calibri" w:eastAsia="仿宋_GB2312"/>
      <w:sz w:val="28"/>
      <w:szCs w:val="24"/>
    </w:rPr>
  </w:style>
  <w:style w:type="character" w:styleId="1076" w:customStyle="1">
    <w:name w:val="日期 Char"/>
    <w:basedOn w:val="740"/>
    <w:link w:val="761"/>
    <w:qFormat/>
    <w:rPr>
      <w:rFonts w:ascii="Century Schoolbook" w:hAnsi="Century Schoolbook" w:eastAsia="文鼎小标宋"/>
      <w:spacing w:val="-4"/>
      <w:sz w:val="23"/>
    </w:rPr>
  </w:style>
  <w:style w:type="character" w:styleId="1077" w:customStyle="1">
    <w:name w:val="正文文本缩进 2 Char"/>
    <w:basedOn w:val="740"/>
    <w:link w:val="762"/>
    <w:uiPriority w:val="99"/>
    <w:qFormat/>
    <w:rPr>
      <w:rFonts w:ascii="仿宋_GB2312" w:hAnsi="Calibri" w:eastAsia="仿宋_GB2312"/>
      <w:sz w:val="24"/>
      <w:szCs w:val="24"/>
    </w:rPr>
  </w:style>
  <w:style w:type="character" w:styleId="1078" w:customStyle="1">
    <w:name w:val="批注框文本 Char"/>
    <w:basedOn w:val="740"/>
    <w:link w:val="764"/>
    <w:semiHidden/>
    <w:qFormat/>
    <w:rPr>
      <w:rFonts w:ascii="Calibri" w:hAnsi="Calibri"/>
      <w:sz w:val="18"/>
      <w:szCs w:val="18"/>
    </w:rPr>
  </w:style>
  <w:style w:type="character" w:styleId="1079" w:customStyle="1">
    <w:name w:val="正文文本缩进 3 Char"/>
    <w:basedOn w:val="740"/>
    <w:link w:val="773"/>
    <w:qFormat/>
    <w:rPr>
      <w:rFonts w:ascii="仿宋_GB2312" w:hAnsi="宋体" w:eastAsia="仿宋_GB2312"/>
      <w:sz w:val="32"/>
      <w:szCs w:val="24"/>
    </w:rPr>
  </w:style>
  <w:style w:type="character" w:styleId="1080" w:customStyle="1">
    <w:name w:val="批注主题 Char"/>
    <w:basedOn w:val="1072"/>
    <w:link w:val="744"/>
    <w:qFormat/>
    <w:rPr>
      <w:rFonts w:ascii="Calibri" w:hAnsi="Calibri"/>
      <w:b/>
      <w:bCs/>
      <w:sz w:val="28"/>
      <w:szCs w:val="24"/>
    </w:rPr>
  </w:style>
  <w:style w:type="character" w:styleId="1081" w:customStyle="1">
    <w:name w:val="正文首行缩进 Char"/>
    <w:link w:val="747"/>
    <w:rPr>
      <w:rFonts w:ascii="楷体_GB2312" w:hAnsi="Arial" w:eastAsia="楷体_GB2312"/>
      <w:bCs/>
      <w:sz w:val="24"/>
      <w:szCs w:val="28"/>
    </w:rPr>
  </w:style>
  <w:style w:type="character" w:styleId="1082" w:customStyle="1">
    <w:name w:val="正文首行缩进 2 Char"/>
    <w:basedOn w:val="1074"/>
    <w:link w:val="766"/>
    <w:qFormat/>
    <w:rPr>
      <w:rFonts w:ascii="Calibri" w:hAnsi="Calibri" w:eastAsia="仿宋_GB2312"/>
      <w:sz w:val="21"/>
      <w:szCs w:val="24"/>
    </w:rPr>
  </w:style>
  <w:style w:type="character" w:styleId="1083" w:customStyle="1">
    <w:name w:val="fontstyle21"/>
    <w:qFormat/>
    <w:rPr>
      <w:rFonts w:hint="eastAsia" w:ascii="宋体" w:hAnsi="宋体" w:eastAsia="宋体"/>
      <w:color w:val="000000"/>
      <w:sz w:val="28"/>
      <w:szCs w:val="28"/>
    </w:rPr>
  </w:style>
  <w:style w:type="character" w:styleId="1084" w:customStyle="1">
    <w:name w:val="Z小节标题 Char"/>
    <w:link w:val="1085"/>
    <w:qFormat/>
    <w:rPr>
      <w:rFonts w:eastAsia="黑体"/>
      <w:b/>
      <w:bCs/>
      <w:sz w:val="24"/>
      <w:szCs w:val="28"/>
    </w:rPr>
  </w:style>
  <w:style w:type="paragraph" w:styleId="1085" w:customStyle="1">
    <w:name w:val="Z小节标题"/>
    <w:basedOn w:val="730"/>
    <w:next w:val="730"/>
    <w:link w:val="1084"/>
    <w:qFormat/>
    <w:pPr>
      <w:ind w:left="1389" w:hanging="720"/>
      <w:jc w:val="left"/>
      <w:keepLines/>
      <w:keepNext/>
      <w:spacing w:line="360" w:lineRule="auto"/>
      <w:outlineLvl w:val="2"/>
    </w:pPr>
    <w:rPr>
      <w:rFonts w:ascii="Times New Roman" w:hAnsi="Times New Roman" w:eastAsia="黑体"/>
      <w:b/>
      <w:bCs/>
      <w:sz w:val="24"/>
      <w:szCs w:val="28"/>
    </w:rPr>
  </w:style>
  <w:style w:type="character" w:styleId="1086" w:customStyle="1">
    <w:name w:val="Z节标题 Char"/>
    <w:link w:val="1087"/>
    <w:qFormat/>
    <w:rPr>
      <w:rFonts w:ascii="黑体" w:hAnsi="黑体" w:eastAsia="黑体"/>
      <w:bCs/>
      <w:sz w:val="28"/>
      <w:szCs w:val="28"/>
    </w:rPr>
  </w:style>
  <w:style w:type="paragraph" w:styleId="1087" w:customStyle="1">
    <w:name w:val="Z节标题"/>
    <w:basedOn w:val="1088"/>
    <w:link w:val="1086"/>
    <w:qFormat/>
    <w:pPr>
      <w:ind w:left="0" w:firstLine="7"/>
      <w:jc w:val="left"/>
      <w:spacing w:before="0" w:after="0"/>
      <w:widowControl/>
      <w:outlineLvl w:val="1"/>
    </w:pPr>
    <w:rPr>
      <w:rFonts w:ascii="黑体" w:hAnsi="黑体" w:eastAsia="黑体"/>
      <w:b w:val="0"/>
      <w:sz w:val="28"/>
      <w:szCs w:val="28"/>
    </w:rPr>
  </w:style>
  <w:style w:type="paragraph" w:styleId="1088" w:customStyle="1">
    <w:name w:val="Z章标题"/>
    <w:basedOn w:val="731"/>
    <w:next w:val="731"/>
    <w:link w:val="1089"/>
    <w:qFormat/>
    <w:pPr>
      <w:ind w:left="3551" w:hanging="432"/>
      <w:jc w:val="center"/>
      <w:spacing w:before="240" w:after="880" w:line="360" w:lineRule="auto"/>
      <w:tabs>
        <w:tab w:val="left" w:pos="3551" w:leader="none"/>
      </w:tabs>
    </w:pPr>
    <w:rPr>
      <w:rFonts w:ascii="Times New Roman" w:hAnsi="Times New Roman" w:eastAsia="仿宋_GB2312" w:cs="Times New Roman"/>
      <w:b/>
      <w:bCs/>
      <w:sz w:val="44"/>
      <w:szCs w:val="32"/>
    </w:rPr>
  </w:style>
  <w:style w:type="character" w:styleId="1089" w:customStyle="1">
    <w:name w:val="Z章标题 Char"/>
    <w:link w:val="1088"/>
    <w:qFormat/>
    <w:rPr>
      <w:rFonts w:eastAsia="仿宋_GB2312"/>
      <w:b/>
      <w:bCs/>
      <w:sz w:val="44"/>
      <w:szCs w:val="32"/>
    </w:rPr>
  </w:style>
  <w:style w:type="character" w:styleId="1090" w:customStyle="1">
    <w:name w:val="black11"/>
    <w:qFormat/>
  </w:style>
  <w:style w:type="character" w:styleId="1091" w:customStyle="1">
    <w:name w:val="样式 样式 正文文本 + 行距: 固定值 26 磅 + 首行缩进:  2 字符 Char"/>
    <w:link w:val="1092"/>
    <w:qFormat/>
    <w:rPr>
      <w:rFonts w:ascii="宋体" w:hAnsi="宋体"/>
      <w:bCs/>
      <w:color w:val="000000"/>
      <w:sz w:val="24"/>
      <w:szCs w:val="24"/>
    </w:rPr>
  </w:style>
  <w:style w:type="paragraph" w:styleId="1092" w:customStyle="1">
    <w:name w:val="样式 样式 正文文本 + 行距: 固定值 26 磅 + 首行缩进:  2 字符"/>
    <w:basedOn w:val="730"/>
    <w:link w:val="1091"/>
    <w:qFormat/>
    <w:pPr>
      <w:ind w:firstLine="480"/>
    </w:pPr>
    <w:rPr>
      <w:rFonts w:ascii="宋体" w:hAnsi="宋体"/>
      <w:bCs/>
      <w:color w:val="000000"/>
      <w:sz w:val="24"/>
      <w:szCs w:val="24"/>
    </w:rPr>
  </w:style>
  <w:style w:type="character" w:styleId="1093" w:customStyle="1">
    <w:name w:val="Z表格标题 Char"/>
    <w:link w:val="1094"/>
    <w:qFormat/>
    <w:rPr>
      <w:rFonts w:ascii="黑体" w:eastAsia="黑体"/>
      <w:sz w:val="28"/>
      <w:szCs w:val="28"/>
    </w:rPr>
  </w:style>
  <w:style w:type="paragraph" w:styleId="1094" w:customStyle="1">
    <w:name w:val="Z表格标题"/>
    <w:basedOn w:val="730"/>
    <w:link w:val="1093"/>
    <w:qFormat/>
    <w:pPr>
      <w:ind w:left="5102" w:hanging="1700"/>
      <w:jc w:val="center"/>
      <w:spacing w:line="360" w:lineRule="auto"/>
      <w:outlineLvl w:val="8"/>
    </w:pPr>
    <w:rPr>
      <w:rFonts w:ascii="黑体" w:hAnsi="Times New Roman" w:eastAsia="黑体"/>
      <w:sz w:val="28"/>
      <w:szCs w:val="28"/>
    </w:rPr>
  </w:style>
  <w:style w:type="character" w:styleId="1095" w:customStyle="1">
    <w:name w:val="fontstyle01"/>
    <w:qFormat/>
    <w:rPr>
      <w:rFonts w:hint="default" w:ascii="Times New Roman" w:hAnsi="Times New Roman" w:cs="Times New Roman"/>
      <w:color w:val="000000"/>
      <w:sz w:val="28"/>
      <w:szCs w:val="28"/>
    </w:rPr>
  </w:style>
  <w:style w:type="character" w:styleId="1096" w:customStyle="1">
    <w:name w:val="表头 Char"/>
    <w:link w:val="1097"/>
    <w:qFormat/>
    <w:rPr>
      <w:rFonts w:eastAsia="黑体"/>
      <w:sz w:val="24"/>
      <w:szCs w:val="28"/>
    </w:rPr>
  </w:style>
  <w:style w:type="paragraph" w:styleId="1097" w:customStyle="1">
    <w:name w:val="表头"/>
    <w:basedOn w:val="730"/>
    <w:link w:val="1096"/>
    <w:qFormat/>
    <w:pPr>
      <w:jc w:val="center"/>
      <w:spacing w:line="440" w:lineRule="exact"/>
    </w:pPr>
    <w:rPr>
      <w:rFonts w:ascii="Times New Roman" w:hAnsi="Times New Roman" w:eastAsia="黑体"/>
      <w:sz w:val="24"/>
      <w:szCs w:val="28"/>
    </w:rPr>
  </w:style>
  <w:style w:type="character" w:styleId="1098" w:customStyle="1">
    <w:name w:val="fontstyle31"/>
    <w:qFormat/>
    <w:rPr>
      <w:rFonts w:hint="default" w:ascii="TimesNewRoman" w:hAnsi="TimesNewRoman"/>
      <w:color w:val="000000"/>
      <w:sz w:val="28"/>
      <w:szCs w:val="28"/>
    </w:rPr>
  </w:style>
  <w:style w:type="character" w:styleId="1099" w:customStyle="1">
    <w:name w:val="样式 Z表格标题 + (西文) 宋体 Char"/>
    <w:qFormat/>
    <w:rPr>
      <w:rFonts w:hint="eastAsia" w:ascii="宋体" w:hAnsi="宋体" w:eastAsia="仿宋_GB2312"/>
      <w:b/>
      <w:sz w:val="28"/>
      <w:lang w:val="en-US" w:eastAsia="zh-CN" w:bidi="ar-SA"/>
    </w:rPr>
  </w:style>
  <w:style w:type="character" w:styleId="1100" w:customStyle="1">
    <w:name w:val="标题2 Char"/>
    <w:link w:val="1101"/>
    <w:qFormat/>
    <w:rPr>
      <w:rFonts w:eastAsia="方正楷体_GBK"/>
      <w:sz w:val="32"/>
    </w:rPr>
  </w:style>
  <w:style w:type="paragraph" w:styleId="1101" w:customStyle="1">
    <w:name w:val="标题2"/>
    <w:basedOn w:val="730"/>
    <w:next w:val="730"/>
    <w:link w:val="1100"/>
    <w:qFormat/>
    <w:pPr>
      <w:ind w:firstLine="200"/>
      <w:jc w:val="center"/>
      <w:spacing w:line="590" w:lineRule="atLeast"/>
    </w:pPr>
    <w:rPr>
      <w:rFonts w:ascii="Times New Roman" w:hAnsi="Times New Roman" w:eastAsia="方正楷体_GBK"/>
      <w:sz w:val="32"/>
      <w:szCs w:val="20"/>
    </w:rPr>
  </w:style>
  <w:style w:type="character" w:styleId="1102" w:customStyle="1">
    <w:name w:val="正文1 Char Char"/>
    <w:link w:val="988"/>
    <w:qFormat/>
    <w:rPr>
      <w:sz w:val="28"/>
    </w:rPr>
  </w:style>
  <w:style w:type="character" w:styleId="1103" w:customStyle="1">
    <w:name w:val="标题 1 Char1"/>
    <w:qFormat/>
    <w:rPr>
      <w:rFonts w:eastAsia="黑体"/>
      <w:sz w:val="32"/>
    </w:rPr>
  </w:style>
  <w:style w:type="character" w:styleId="1104" w:customStyle="1">
    <w:name w:val="font521"/>
    <w:qFormat/>
    <w:rPr>
      <w:rFonts w:hint="eastAsia" w:ascii="宋体" w:hAnsi="宋体" w:eastAsia="宋体"/>
      <w:b/>
      <w:bCs/>
      <w:color w:val="000000"/>
      <w:sz w:val="22"/>
      <w:szCs w:val="22"/>
      <w:u w:val="none"/>
    </w:rPr>
  </w:style>
  <w:style w:type="character" w:styleId="1105" w:customStyle="1">
    <w:name w:val="明显参考1"/>
    <w:uiPriority w:val="32"/>
    <w:qFormat/>
    <w:rPr>
      <w:b/>
      <w:bCs/>
      <w:smallCaps/>
      <w:color w:val="c0504d"/>
      <w:spacing w:val="5"/>
      <w:u w:val="single"/>
    </w:rPr>
  </w:style>
  <w:style w:type="character" w:styleId="1106" w:customStyle="1">
    <w:name w:val="本项目正文 Char"/>
    <w:link w:val="1107"/>
    <w:qFormat/>
    <w:rPr>
      <w:bCs/>
      <w:sz w:val="28"/>
      <w:szCs w:val="44"/>
    </w:rPr>
  </w:style>
  <w:style w:type="paragraph" w:styleId="1107" w:customStyle="1">
    <w:name w:val="本项目正文"/>
    <w:link w:val="1106"/>
    <w:qFormat/>
    <w:pPr>
      <w:ind w:firstLine="200"/>
      <w:jc w:val="both"/>
      <w:spacing w:line="360" w:lineRule="auto"/>
    </w:pPr>
    <w:rPr>
      <w:bCs/>
      <w:sz w:val="28"/>
      <w:szCs w:val="44"/>
    </w:rPr>
  </w:style>
  <w:style w:type="character" w:styleId="1108" w:customStyle="1">
    <w:name w:val="fontstyle11"/>
    <w:qFormat/>
    <w:rPr>
      <w:rFonts w:hint="eastAsia" w:ascii="宋体" w:hAnsi="宋体" w:eastAsia="宋体"/>
      <w:color w:val="000000"/>
      <w:sz w:val="28"/>
      <w:szCs w:val="28"/>
    </w:rPr>
  </w:style>
  <w:style w:type="character" w:styleId="1109" w:customStyle="1">
    <w:name w:val="正文（有空格） Char"/>
    <w:link w:val="1110"/>
    <w:qFormat/>
    <w:rPr>
      <w:sz w:val="28"/>
      <w:szCs w:val="28"/>
    </w:rPr>
  </w:style>
  <w:style w:type="paragraph" w:styleId="1110" w:customStyle="1">
    <w:name w:val="正文（有空格）"/>
    <w:link w:val="1109"/>
    <w:qFormat/>
    <w:pPr>
      <w:ind w:firstLine="200"/>
      <w:spacing w:line="360" w:lineRule="auto"/>
      <w:widowControl w:val="off"/>
    </w:pPr>
    <w:rPr>
      <w:sz w:val="28"/>
      <w:szCs w:val="28"/>
    </w:rPr>
  </w:style>
  <w:style w:type="character" w:styleId="1111" w:customStyle="1">
    <w:name w:val="表格内文字 Char1"/>
    <w:link w:val="1112"/>
    <w:qFormat/>
    <w:rPr>
      <w:sz w:val="24"/>
    </w:rPr>
  </w:style>
  <w:style w:type="paragraph" w:styleId="1112" w:customStyle="1">
    <w:name w:val="表格内文字"/>
    <w:basedOn w:val="730"/>
    <w:link w:val="1111"/>
    <w:qFormat/>
    <w:pPr>
      <w:jc w:val="center"/>
      <w:spacing w:before="40" w:line="320" w:lineRule="exact"/>
    </w:pPr>
    <w:rPr>
      <w:rFonts w:ascii="Times New Roman" w:hAnsi="Times New Roman"/>
      <w:sz w:val="24"/>
      <w:szCs w:val="20"/>
    </w:rPr>
  </w:style>
  <w:style w:type="character" w:styleId="1113" w:customStyle="1">
    <w:name w:val="font531"/>
    <w:qFormat/>
    <w:rPr>
      <w:rFonts w:hint="eastAsia" w:ascii="宋体" w:hAnsi="宋体" w:eastAsia="宋体"/>
      <w:color w:val="000000"/>
      <w:sz w:val="22"/>
      <w:szCs w:val="22"/>
      <w:u w:val="none"/>
    </w:rPr>
  </w:style>
  <w:style w:type="character" w:styleId="1114" w:customStyle="1">
    <w:name w:val="页眉 Char1"/>
    <w:qFormat/>
    <w:rPr>
      <w:rFonts w:ascii="宋体" w:hAnsi="宋体"/>
      <w:sz w:val="18"/>
    </w:rPr>
  </w:style>
  <w:style w:type="paragraph" w:styleId="1115" w:customStyle="1">
    <w:name w:val="xl150"/>
    <w:basedOn w:val="73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116" w:customStyle="1">
    <w:name w:val="xl93"/>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7" w:customStyle="1">
    <w:name w:val="样式 正文（有空格） + 两端对齐 首行缩进:  2 字符"/>
    <w:basedOn w:val="1110"/>
    <w:qFormat/>
    <w:pPr>
      <w:ind w:firstLine="504"/>
      <w:jc w:val="both"/>
    </w:pPr>
    <w:rPr>
      <w:rFonts w:cs="宋体"/>
      <w:sz w:val="24"/>
      <w:szCs w:val="20"/>
    </w:rPr>
  </w:style>
  <w:style w:type="paragraph" w:styleId="1118" w:customStyle="1">
    <w:name w:val="样式 正文（有空格） + 黑色 两端对齐 首行缩进:  2 字符"/>
    <w:basedOn w:val="730"/>
    <w:qFormat/>
    <w:pPr>
      <w:ind w:firstLine="504"/>
      <w:jc w:val="left"/>
      <w:spacing w:line="360" w:lineRule="auto"/>
    </w:pPr>
    <w:rPr>
      <w:rFonts w:cs="宋体"/>
      <w:color w:val="000000"/>
      <w:sz w:val="24"/>
      <w:szCs w:val="20"/>
    </w:rPr>
  </w:style>
  <w:style w:type="paragraph" w:styleId="1119" w:customStyle="1">
    <w:name w:val="xl140"/>
    <w:basedOn w:val="73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0" w:customStyle="1">
    <w:name w:val="xl113"/>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1" w:customStyle="1">
    <w:name w:val="xl147"/>
    <w:basedOn w:val="730"/>
    <w:qFormat/>
    <w:pPr>
      <w:jc w:val="center"/>
      <w:spacing w:before="100" w:beforeAutospacing="1" w:after="100" w:afterAutospacing="1"/>
      <w:widowControl/>
    </w:pPr>
    <w:rPr>
      <w:rFonts w:ascii="Courier" w:hAnsi="Courier" w:cs="宋体"/>
      <w:sz w:val="24"/>
      <w:szCs w:val="24"/>
    </w:rPr>
  </w:style>
  <w:style w:type="paragraph" w:styleId="1122" w:customStyle="1">
    <w:name w:val="xl124"/>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23" w:customStyle="1">
    <w:name w:val="xl138"/>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4" w:customStyle="1">
    <w:name w:val="表格"/>
    <w:qFormat/>
    <w:pPr>
      <w:jc w:val="center"/>
      <w:spacing w:line="240" w:lineRule="atLeast"/>
    </w:pPr>
    <w:rPr>
      <w:rFonts w:ascii="Calibri" w:hAnsi="Calibri"/>
      <w:sz w:val="21"/>
    </w:rPr>
  </w:style>
  <w:style w:type="paragraph" w:styleId="1125" w:customStyle="1">
    <w:name w:val="xl135"/>
    <w:basedOn w:val="730"/>
    <w:qFormat/>
    <w:pPr>
      <w:jc w:val="left"/>
      <w:spacing w:before="100" w:beforeAutospacing="1" w:after="100" w:afterAutospacing="1"/>
      <w:widowControl/>
    </w:pPr>
    <w:rPr>
      <w:rFonts w:ascii="宋体" w:hAnsi="宋体" w:cs="宋体"/>
      <w:color w:val="000000"/>
      <w:sz w:val="20"/>
      <w:szCs w:val="20"/>
    </w:rPr>
  </w:style>
  <w:style w:type="paragraph" w:styleId="1126" w:customStyle="1">
    <w:name w:val="xl10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7" w:customStyle="1">
    <w:name w:val="xl79"/>
    <w:basedOn w:val="73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8" w:customStyle="1">
    <w:name w:val="xl95"/>
    <w:basedOn w:val="73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9" w:customStyle="1">
    <w:name w:val="xl154"/>
    <w:basedOn w:val="730"/>
    <w:qFormat/>
    <w:pPr>
      <w:jc w:val="center"/>
      <w:spacing w:before="100" w:beforeAutospacing="1" w:after="100" w:afterAutospacing="1"/>
      <w:widowControl/>
    </w:pPr>
    <w:rPr>
      <w:rFonts w:ascii="宋体" w:hAnsi="宋体" w:cs="宋体"/>
      <w:b/>
      <w:bCs/>
      <w:sz w:val="24"/>
      <w:szCs w:val="24"/>
    </w:rPr>
  </w:style>
  <w:style w:type="paragraph" w:styleId="1130" w:customStyle="1">
    <w:name w:val="xl131"/>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1" w:customStyle="1">
    <w:name w:val="图编号"/>
    <w:basedOn w:val="748"/>
    <w:qFormat/>
    <w:pPr>
      <w:ind w:firstLine="200"/>
      <w:jc w:val="center"/>
      <w:spacing w:line="360" w:lineRule="auto"/>
      <w:tabs>
        <w:tab w:val="left" w:pos="560" w:leader="none"/>
        <w:tab w:val="left" w:pos="4123" w:leader="none"/>
      </w:tabs>
    </w:pPr>
    <w:rPr>
      <w:rFonts w:ascii="Calibri" w:hAnsi="Calibri" w:eastAsia="宋体"/>
      <w:b/>
    </w:rPr>
  </w:style>
  <w:style w:type="paragraph" w:styleId="1132" w:customStyle="1">
    <w:name w:val="xl110"/>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3" w:customStyle="1">
    <w:name w:val="xl80"/>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4" w:customStyle="1">
    <w:name w:val="xl71"/>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5" w:customStyle="1">
    <w:name w:val="xl103"/>
    <w:basedOn w:val="73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6" w:customStyle="1">
    <w:name w:val="表格内文字1"/>
    <w:basedOn w:val="730"/>
    <w:qFormat/>
    <w:pPr>
      <w:jc w:val="center"/>
      <w:spacing w:line="240" w:lineRule="exact"/>
    </w:pPr>
    <w:rPr>
      <w:spacing w:val="6"/>
      <w:sz w:val="28"/>
      <w:szCs w:val="21"/>
    </w:rPr>
  </w:style>
  <w:style w:type="paragraph" w:styleId="1137" w:customStyle="1">
    <w:name w:val="xl153"/>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8" w:customStyle="1">
    <w:name w:val="xl125"/>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9" w:customStyle="1">
    <w:name w:val="样式 正文文本缩进 2 + Times New Roman 首行缩进:  1.06 厘米 行距: 固定值 30 磅"/>
    <w:basedOn w:val="762"/>
    <w:qFormat/>
    <w:pPr>
      <w:ind w:firstLine="601"/>
      <w:spacing w:line="540" w:lineRule="exact"/>
    </w:pPr>
    <w:rPr>
      <w:rFonts w:ascii="Times New Roman" w:eastAsia="宋体"/>
      <w:sz w:val="28"/>
      <w:szCs w:val="28"/>
    </w:rPr>
  </w:style>
  <w:style w:type="paragraph" w:styleId="1140" w:customStyle="1">
    <w:name w:val="xl94"/>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1" w:customStyle="1">
    <w:name w:val="样式 首行缩进:  2 字符1"/>
    <w:basedOn w:val="730"/>
    <w:qFormat/>
    <w:pPr>
      <w:ind w:firstLine="200"/>
      <w:spacing w:line="312" w:lineRule="auto"/>
    </w:pPr>
    <w:rPr>
      <w:rFonts w:cs="宋体"/>
      <w:sz w:val="24"/>
      <w:szCs w:val="24"/>
    </w:rPr>
  </w:style>
  <w:style w:type="paragraph" w:styleId="1142" w:customStyle="1">
    <w:name w:val="xl143"/>
    <w:basedOn w:val="730"/>
    <w:qFormat/>
    <w:pPr>
      <w:jc w:val="left"/>
      <w:spacing w:before="100" w:beforeAutospacing="1" w:after="100" w:afterAutospacing="1"/>
      <w:widowControl/>
    </w:pPr>
    <w:rPr>
      <w:rFonts w:ascii="Courier" w:hAnsi="Courier" w:cs="宋体"/>
      <w:sz w:val="24"/>
      <w:szCs w:val="24"/>
    </w:rPr>
  </w:style>
  <w:style w:type="paragraph" w:styleId="1143" w:customStyle="1">
    <w:name w:val="xl86"/>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4" w:customStyle="1">
    <w:name w:val="TOC 标题11"/>
    <w:basedOn w:val="731"/>
    <w:next w:val="730"/>
    <w:qFormat/>
    <w:pPr>
      <w:jc w:val="left"/>
      <w:spacing w:after="880" w:line="276" w:lineRule="auto"/>
      <w:widowControl/>
      <w:outlineLvl w:val="9"/>
    </w:pPr>
    <w:rPr>
      <w:rFonts w:ascii="Cambria" w:hAnsi="Cambria" w:eastAsia="宋体" w:cs="Times New Roman"/>
      <w:bCs/>
      <w:color w:val="365f91"/>
      <w:sz w:val="28"/>
      <w:szCs w:val="28"/>
    </w:rPr>
  </w:style>
  <w:style w:type="paragraph" w:styleId="1145" w:customStyle="1">
    <w:name w:val="！表格"/>
    <w:basedOn w:val="730"/>
    <w:qFormat/>
    <w:pPr>
      <w:jc w:val="center"/>
    </w:pPr>
    <w:rPr>
      <w:rFonts w:eastAsia="Times New Roman"/>
      <w:sz w:val="24"/>
      <w:szCs w:val="24"/>
    </w:rPr>
  </w:style>
  <w:style w:type="paragraph" w:styleId="1146" w:customStyle="1">
    <w:name w:val="xl112"/>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7" w:customStyle="1">
    <w:name w:val="xl133"/>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8" w:customStyle="1">
    <w:name w:val="xl74"/>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9" w:customStyle="1">
    <w:name w:val="xl152"/>
    <w:basedOn w:val="73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50" w:customStyle="1">
    <w:name w:val="xl98"/>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1" w:customStyle="1">
    <w:name w:val="xl88"/>
    <w:basedOn w:val="73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2" w:customStyle="1">
    <w:name w:val="xl145"/>
    <w:basedOn w:val="730"/>
    <w:qFormat/>
    <w:pPr>
      <w:jc w:val="center"/>
      <w:spacing w:before="100" w:beforeAutospacing="1" w:after="100" w:afterAutospacing="1"/>
      <w:widowControl/>
    </w:pPr>
    <w:rPr>
      <w:rFonts w:ascii="Courier" w:hAnsi="Courier" w:cs="宋体"/>
      <w:sz w:val="24"/>
      <w:szCs w:val="24"/>
    </w:rPr>
  </w:style>
  <w:style w:type="paragraph" w:styleId="1153" w:customStyle="1">
    <w:name w:val="xl12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54" w:customStyle="1">
    <w:name w:val="xl132"/>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5" w:customStyle="1">
    <w:name w:val="xl100"/>
    <w:basedOn w:val="730"/>
    <w:qFormat/>
    <w:pPr>
      <w:jc w:val="left"/>
      <w:spacing w:before="100" w:beforeAutospacing="1" w:after="100" w:afterAutospacing="1"/>
      <w:widowControl/>
    </w:pPr>
    <w:rPr>
      <w:rFonts w:ascii="Courier" w:hAnsi="Courier" w:cs="宋体"/>
      <w:b/>
      <w:bCs/>
      <w:sz w:val="24"/>
      <w:szCs w:val="24"/>
    </w:rPr>
  </w:style>
  <w:style w:type="paragraph" w:styleId="1156" w:customStyle="1">
    <w:name w:val="xl84"/>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7" w:customStyle="1">
    <w:name w:val="xl134"/>
    <w:basedOn w:val="73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58" w:customStyle="1">
    <w:name w:val="xl81"/>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9" w:customStyle="1">
    <w:name w:val="标题4"/>
    <w:basedOn w:val="730"/>
    <w:qFormat/>
    <w:pPr>
      <w:ind w:firstLine="532"/>
      <w:spacing w:line="360" w:lineRule="auto"/>
    </w:pPr>
    <w:rPr>
      <w:sz w:val="28"/>
      <w:szCs w:val="20"/>
    </w:rPr>
  </w:style>
  <w:style w:type="paragraph" w:styleId="1160" w:customStyle="1">
    <w:name w:val="xl144"/>
    <w:basedOn w:val="730"/>
    <w:qFormat/>
    <w:pPr>
      <w:jc w:val="left"/>
      <w:spacing w:before="100" w:beforeAutospacing="1" w:after="100" w:afterAutospacing="1"/>
      <w:widowControl/>
    </w:pPr>
    <w:rPr>
      <w:rFonts w:ascii="Courier" w:hAnsi="Courier" w:cs="宋体"/>
      <w:sz w:val="24"/>
      <w:szCs w:val="24"/>
    </w:rPr>
  </w:style>
  <w:style w:type="paragraph" w:styleId="1161" w:customStyle="1">
    <w:name w:val="xl123"/>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62" w:customStyle="1">
    <w:name w:val="xl116"/>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3" w:customStyle="1">
    <w:name w:val="表格文字"/>
    <w:basedOn w:val="730"/>
    <w:next w:val="759"/>
    <w:qFormat/>
    <w:pPr>
      <w:ind w:firstLine="200"/>
      <w:jc w:val="left"/>
    </w:pPr>
    <w:rPr>
      <w:rFonts w:ascii="宋体" w:hAnsi="Courier New"/>
      <w:szCs w:val="20"/>
    </w:rPr>
  </w:style>
  <w:style w:type="paragraph" w:styleId="1164" w:customStyle="1">
    <w:name w:val="xl91"/>
    <w:basedOn w:val="730"/>
    <w:qFormat/>
    <w:pPr>
      <w:jc w:val="left"/>
      <w:spacing w:before="100" w:beforeAutospacing="1" w:after="100" w:afterAutospacing="1"/>
      <w:widowControl/>
    </w:pPr>
    <w:rPr>
      <w:rFonts w:ascii="宋体" w:hAnsi="宋体" w:cs="宋体"/>
      <w:b/>
      <w:bCs/>
      <w:color w:val="ff0000"/>
      <w:sz w:val="20"/>
      <w:szCs w:val="20"/>
    </w:rPr>
  </w:style>
  <w:style w:type="paragraph" w:styleId="1165" w:customStyle="1">
    <w:name w:val="xl149"/>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6" w:customStyle="1">
    <w:name w:val="xl122"/>
    <w:basedOn w:val="73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67" w:customStyle="1">
    <w:name w:val="xl120"/>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68" w:customStyle="1">
    <w:name w:val="Z小小节标题"/>
    <w:basedOn w:val="1085"/>
    <w:qFormat/>
    <w:pPr>
      <w:ind w:left="1744" w:hanging="1080"/>
      <w:tabs>
        <w:tab w:val="left" w:pos="360" w:leader="none"/>
      </w:tabs>
      <w:outlineLvl w:val="3"/>
    </w:pPr>
    <w:rPr>
      <w:rFonts w:eastAsia="仿宋_GB2312"/>
    </w:rPr>
  </w:style>
  <w:style w:type="paragraph" w:styleId="1169" w:customStyle="1">
    <w:name w:val="xl155"/>
    <w:basedOn w:val="73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170" w:customStyle="1">
    <w:name w:val="xl119"/>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1" w:customStyle="1">
    <w:name w:val="xl96"/>
    <w:basedOn w:val="730"/>
    <w:qFormat/>
    <w:pPr>
      <w:jc w:val="left"/>
      <w:spacing w:before="100" w:beforeAutospacing="1" w:after="100" w:afterAutospacing="1"/>
      <w:widowControl/>
    </w:pPr>
    <w:rPr>
      <w:rFonts w:ascii="宋体" w:hAnsi="宋体" w:cs="宋体"/>
      <w:color w:val="ff0000"/>
      <w:sz w:val="20"/>
      <w:szCs w:val="20"/>
    </w:rPr>
  </w:style>
  <w:style w:type="paragraph" w:styleId="1172" w:customStyle="1">
    <w:name w:val="xl126"/>
    <w:basedOn w:val="730"/>
    <w:qFormat/>
    <w:pPr>
      <w:jc w:val="left"/>
      <w:spacing w:before="100" w:beforeAutospacing="1" w:after="100" w:afterAutospacing="1"/>
      <w:widowControl/>
    </w:pPr>
    <w:rPr>
      <w:rFonts w:ascii="宋体" w:hAnsi="宋体" w:cs="宋体"/>
      <w:color w:val="000000"/>
      <w:sz w:val="20"/>
      <w:szCs w:val="20"/>
    </w:rPr>
  </w:style>
  <w:style w:type="paragraph" w:styleId="1173" w:customStyle="1">
    <w:name w:val="xl97"/>
    <w:basedOn w:val="73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4" w:customStyle="1">
    <w:name w:val="Table Paragraph"/>
    <w:basedOn w:val="730"/>
    <w:uiPriority w:val="1"/>
    <w:qFormat/>
    <w:pPr>
      <w:ind w:firstLine="200"/>
      <w:jc w:val="left"/>
    </w:pPr>
    <w:rPr>
      <w:sz w:val="24"/>
      <w:szCs w:val="24"/>
    </w:rPr>
  </w:style>
  <w:style w:type="paragraph" w:styleId="1175" w:customStyle="1">
    <w:name w:val="xl121"/>
    <w:basedOn w:val="73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76" w:customStyle="1">
    <w:name w:val="样式7"/>
    <w:basedOn w:val="730"/>
    <w:pPr>
      <w:jc w:val="center"/>
    </w:pPr>
    <w:rPr>
      <w:sz w:val="18"/>
      <w:szCs w:val="24"/>
    </w:rPr>
  </w:style>
  <w:style w:type="paragraph" w:styleId="1177" w:customStyle="1">
    <w:name w:val="样式 四号 黑色 行距: 1.5 倍行距1"/>
    <w:basedOn w:val="730"/>
    <w:pPr>
      <w:ind w:firstLine="200"/>
      <w:jc w:val="left"/>
      <w:spacing w:line="360" w:lineRule="auto"/>
    </w:pPr>
    <w:rPr>
      <w:rFonts w:cs="宋体"/>
      <w:color w:val="000000"/>
      <w:sz w:val="24"/>
      <w:szCs w:val="20"/>
    </w:rPr>
  </w:style>
  <w:style w:type="paragraph" w:styleId="1178" w:customStyle="1">
    <w:name w:val="xl148"/>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9" w:customStyle="1">
    <w:name w:val="xl72"/>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0" w:customStyle="1">
    <w:name w:val="样式 样式 四号 黑色 行距: 1.5 倍行距2 + 首行缩进:  2 字符"/>
    <w:basedOn w:val="730"/>
    <w:pPr>
      <w:ind w:firstLine="446"/>
      <w:jc w:val="left"/>
      <w:spacing w:line="360" w:lineRule="auto"/>
    </w:pPr>
    <w:rPr>
      <w:rFonts w:cs="宋体"/>
      <w:color w:val="000000"/>
      <w:sz w:val="24"/>
      <w:szCs w:val="20"/>
    </w:rPr>
  </w:style>
  <w:style w:type="paragraph" w:styleId="1181" w:customStyle="1">
    <w:name w:val="xl130"/>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2" w:customStyle="1">
    <w:name w:val="xl101"/>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3" w:customStyle="1">
    <w:name w:val="xl82"/>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4" w:customStyle="1">
    <w:name w:val="表标题"/>
    <w:basedOn w:val="730"/>
    <w:pPr>
      <w:ind w:firstLine="200"/>
      <w:jc w:val="left"/>
      <w:spacing w:line="360" w:lineRule="auto"/>
    </w:pPr>
    <w:rPr>
      <w:rFonts w:ascii="黑体" w:hAnsi="宋体" w:eastAsia="黑体"/>
      <w:sz w:val="28"/>
      <w:szCs w:val="24"/>
    </w:rPr>
  </w:style>
  <w:style w:type="paragraph" w:styleId="1185" w:customStyle="1">
    <w:name w:val="xl108"/>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6" w:customStyle="1">
    <w:name w:val="Default"/>
    <w:qFormat/>
    <w:pPr>
      <w:spacing w:line="360" w:lineRule="auto"/>
      <w:widowControl w:val="off"/>
    </w:pPr>
    <w:rPr>
      <w:rFonts w:ascii="宋体" w:hAnsi="Calibri" w:cs="宋体"/>
      <w:color w:val="000000"/>
      <w:sz w:val="24"/>
      <w:szCs w:val="24"/>
    </w:rPr>
  </w:style>
  <w:style w:type="paragraph" w:styleId="1187" w:customStyle="1">
    <w:name w:val="xl136"/>
    <w:basedOn w:val="73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8" w:customStyle="1">
    <w:name w:val="reader-word-layer"/>
    <w:basedOn w:val="730"/>
    <w:pPr>
      <w:jc w:val="left"/>
      <w:spacing w:before="100" w:beforeAutospacing="1" w:after="100" w:afterAutospacing="1" w:line="360" w:lineRule="auto"/>
      <w:widowControl/>
    </w:pPr>
    <w:rPr>
      <w:rFonts w:ascii="宋体" w:hAnsi="宋体" w:cs="宋体"/>
      <w:sz w:val="24"/>
      <w:szCs w:val="24"/>
    </w:rPr>
  </w:style>
  <w:style w:type="paragraph" w:styleId="1189" w:customStyle="1">
    <w:name w:val="xl114"/>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90" w:customStyle="1">
    <w:name w:val="xl77"/>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1" w:customStyle="1">
    <w:name w:val="编号1"/>
    <w:basedOn w:val="730"/>
    <w:pPr>
      <w:ind w:left="340" w:hanging="340"/>
      <w:spacing w:line="360" w:lineRule="auto"/>
      <w:tabs>
        <w:tab w:val="left" w:pos="360" w:leader="none"/>
      </w:tabs>
    </w:pPr>
    <w:rPr>
      <w:sz w:val="24"/>
      <w:szCs w:val="20"/>
    </w:rPr>
  </w:style>
  <w:style w:type="paragraph" w:styleId="1192" w:customStyle="1">
    <w:name w:val="xl85"/>
    <w:basedOn w:val="730"/>
    <w:pPr>
      <w:jc w:val="left"/>
      <w:spacing w:before="100" w:beforeAutospacing="1" w:after="100" w:afterAutospacing="1"/>
      <w:widowControl/>
    </w:pPr>
    <w:rPr>
      <w:rFonts w:ascii="宋体" w:hAnsi="宋体" w:cs="宋体"/>
      <w:b/>
      <w:bCs/>
      <w:sz w:val="20"/>
      <w:szCs w:val="20"/>
    </w:rPr>
  </w:style>
  <w:style w:type="paragraph" w:styleId="1193" w:customStyle="1">
    <w:name w:val="xl54"/>
    <w:basedOn w:val="730"/>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194" w:customStyle="1">
    <w:name w:val="xl142"/>
    <w:basedOn w:val="73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5" w:customStyle="1">
    <w:name w:val="xl117"/>
    <w:basedOn w:val="73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6" w:customStyle="1">
    <w:name w:val="xl87"/>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7" w:customStyle="1">
    <w:name w:val="W122"/>
    <w:basedOn w:val="731"/>
    <w:pPr>
      <w:ind w:left="425" w:hanging="425"/>
      <w:jc w:val="center"/>
      <w:spacing w:before="100" w:beforeAutospacing="1" w:after="880" w:afterAutospacing="1"/>
      <w:tabs>
        <w:tab w:val="left" w:pos="425" w:leader="none"/>
      </w:tabs>
    </w:pPr>
    <w:rPr>
      <w:rFonts w:ascii="Times New Roman" w:hAnsi="Times New Roman" w:eastAsia="黑体" w:cs="Times New Roman"/>
      <w:bCs/>
      <w:sz w:val="28"/>
      <w:szCs w:val="44"/>
    </w:rPr>
  </w:style>
  <w:style w:type="paragraph" w:styleId="1198" w:customStyle="1">
    <w:name w:val="xl83"/>
    <w:basedOn w:val="73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9" w:customStyle="1">
    <w:name w:val="xl70"/>
    <w:basedOn w:val="730"/>
    <w:pPr>
      <w:jc w:val="left"/>
      <w:spacing w:before="100" w:beforeAutospacing="1" w:after="100" w:afterAutospacing="1"/>
      <w:widowControl/>
    </w:pPr>
    <w:rPr>
      <w:rFonts w:ascii="Courier" w:hAnsi="Courier" w:cs="宋体"/>
      <w:sz w:val="24"/>
      <w:szCs w:val="24"/>
    </w:rPr>
  </w:style>
  <w:style w:type="paragraph" w:styleId="1200" w:customStyle="1">
    <w:name w:val="xl102"/>
    <w:basedOn w:val="73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1" w:customStyle="1">
    <w:name w:val="xl73"/>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2" w:customStyle="1">
    <w:name w:val="xl104"/>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3" w:customStyle="1">
    <w:name w:val="xl75"/>
    <w:basedOn w:val="73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4" w:customStyle="1">
    <w:name w:val="xl76"/>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5" w:customStyle="1">
    <w:name w:val="xl109"/>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6" w:customStyle="1">
    <w:name w:val="xl78"/>
    <w:basedOn w:val="73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7" w:customStyle="1">
    <w:name w:val="xl151"/>
    <w:basedOn w:val="730"/>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208" w:customStyle="1">
    <w:name w:val="xl89"/>
    <w:basedOn w:val="73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9" w:customStyle="1">
    <w:name w:val="xl90"/>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0" w:customStyle="1">
    <w:name w:val="xl128"/>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11" w:customStyle="1">
    <w:name w:val="xl92"/>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12" w:customStyle="1">
    <w:name w:val="xl106"/>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3" w:customStyle="1">
    <w:name w:val="xl129"/>
    <w:basedOn w:val="73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14" w:customStyle="1">
    <w:name w:val="xl99"/>
    <w:basedOn w:val="73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5" w:customStyle="1">
    <w:name w:val="xl105"/>
    <w:basedOn w:val="73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6" w:customStyle="1">
    <w:name w:val="xl111"/>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17" w:customStyle="1">
    <w:name w:val="xl141"/>
    <w:basedOn w:val="73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8" w:customStyle="1">
    <w:name w:val="xl115"/>
    <w:basedOn w:val="73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9" w:customStyle="1">
    <w:name w:val="xl146"/>
    <w:basedOn w:val="730"/>
    <w:pPr>
      <w:jc w:val="left"/>
      <w:spacing w:before="100" w:beforeAutospacing="1" w:after="100" w:afterAutospacing="1"/>
      <w:widowControl/>
    </w:pPr>
    <w:rPr>
      <w:rFonts w:ascii="Courier" w:hAnsi="Courier" w:cs="宋体"/>
      <w:sz w:val="24"/>
      <w:szCs w:val="24"/>
    </w:rPr>
  </w:style>
  <w:style w:type="paragraph" w:styleId="1220" w:customStyle="1">
    <w:name w:val="xl118"/>
    <w:basedOn w:val="73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21" w:customStyle="1">
    <w:name w:val="xl137"/>
    <w:basedOn w:val="73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2" w:customStyle="1">
    <w:name w:val="xl139"/>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3" w:customStyle="1">
    <w:name w:val="三级标题"/>
    <w:basedOn w:val="733"/>
    <w:next w:val="730"/>
    <w:qFormat/>
    <w:pPr>
      <w:spacing w:before="0" w:after="0"/>
      <w:tabs>
        <w:tab w:val="left" w:pos="900" w:leader="none"/>
      </w:tabs>
    </w:pPr>
    <w:rPr>
      <w:rFonts w:ascii="Calibri" w:hAnsi="Calibri" w:eastAsia="黑体" w:cs="Times New Roman"/>
      <w:bCs/>
      <w:sz w:val="28"/>
      <w:szCs w:val="28"/>
    </w:rPr>
  </w:style>
  <w:style w:type="table" w:styleId="1224"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225" w:customStyle="1">
    <w:name w:val="正文空2格  1."/>
    <w:basedOn w:val="730"/>
    <w:pPr>
      <w:ind w:firstLine="200"/>
      <w:spacing w:line="360" w:lineRule="auto"/>
    </w:pPr>
    <w:rPr>
      <w:rFonts w:ascii="宋体" w:hAnsi="宋体" w:eastAsia="仿宋" w:cs="宋体"/>
      <w:sz w:val="28"/>
      <w:szCs w:val="20"/>
    </w:rPr>
  </w:style>
  <w:style w:type="paragraph" w:styleId="1226" w:customStyle="1">
    <w:name w:val="段落"/>
    <w:basedOn w:val="730"/>
    <w:link w:val="1227"/>
    <w:qFormat/>
    <w:pPr>
      <w:ind w:firstLine="200"/>
      <w:spacing w:line="360" w:lineRule="auto"/>
    </w:pPr>
    <w:rPr>
      <w:rFonts w:ascii="仿宋_GB2312" w:eastAsia="仿宋_GB2312"/>
      <w:sz w:val="24"/>
      <w:szCs w:val="24"/>
    </w:rPr>
  </w:style>
  <w:style w:type="character" w:styleId="1227" w:customStyle="1">
    <w:name w:val="段落 Char"/>
    <w:link w:val="1226"/>
    <w:qFormat/>
    <w:rPr>
      <w:rFonts w:ascii="仿宋_GB2312" w:hAnsi="Calibri" w:eastAsia="仿宋_GB2312"/>
      <w:sz w:val="24"/>
      <w:szCs w:val="24"/>
    </w:rPr>
  </w:style>
  <w:style w:type="character" w:styleId="1228" w:customStyle="1">
    <w:name w:val="标题3 字符"/>
    <w:link w:val="1044"/>
    <w:rPr>
      <w:rFonts w:ascii="方正黑体_GBK" w:eastAsia="方正黑体_GBK"/>
      <w:sz w:val="32"/>
      <w:szCs w:val="32"/>
    </w:rPr>
  </w:style>
  <w:style w:type="paragraph" w:styleId="1229" w:customStyle="1">
    <w:name w:val="内容正文"/>
    <w:basedOn w:val="730"/>
    <w:qFormat/>
    <w:pPr>
      <w:ind w:firstLine="480"/>
      <w:spacing w:line="360" w:lineRule="auto"/>
    </w:pPr>
    <w:rPr>
      <w:sz w:val="28"/>
      <w:szCs w:val="24"/>
    </w:rPr>
  </w:style>
  <w:style w:type="paragraph" w:styleId="1230" w:customStyle="1">
    <w:name w:val="列出段落2"/>
    <w:basedOn w:val="730"/>
    <w:pPr>
      <w:ind w:firstLine="420"/>
    </w:pPr>
  </w:style>
  <w:style w:type="character" w:styleId="1231" w:customStyle="1">
    <w:name w:val="font21"/>
    <w:qFormat/>
    <w:rPr>
      <w:rFonts w:hint="eastAsia" w:ascii="宋体" w:hAnsi="宋体" w:eastAsia="宋体" w:cs="宋体"/>
      <w:color w:val="000000"/>
      <w:sz w:val="24"/>
      <w:szCs w:val="24"/>
      <w:u w:val="none"/>
    </w:rPr>
  </w:style>
  <w:style w:type="character" w:styleId="1232" w:customStyle="1">
    <w:name w:val="font31"/>
    <w:qFormat/>
    <w:rPr>
      <w:rFonts w:hint="default" w:ascii="Times New Roman" w:hAnsi="Times New Roman" w:cs="Times New Roman"/>
      <w:color w:val="000000"/>
      <w:sz w:val="24"/>
      <w:szCs w:val="24"/>
      <w:u w:val="none"/>
    </w:rPr>
  </w:style>
  <w:style w:type="paragraph" w:styleId="1233" w:customStyle="1">
    <w:name w:val="xl65"/>
    <w:basedOn w:val="730"/>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_GB2312" w:hAnsi="宋体" w:eastAsia="仿宋_GB2312" w:cs="宋体"/>
      <w:color w:val="000000"/>
      <w:szCs w:val="21"/>
    </w:rPr>
  </w:style>
  <w:style w:type="paragraph" w:styleId="1234" w:customStyle="1">
    <w:name w:val="xl66"/>
    <w:basedOn w:val="73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235" w:customStyle="1">
    <w:name w:val="xl67"/>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236" w:customStyle="1">
    <w:name w:val="xl68"/>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237" w:customStyle="1">
    <w:name w:val="xl69"/>
    <w:basedOn w:val="730"/>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4"/>
      <w:szCs w:val="24"/>
    </w:rPr>
  </w:style>
  <w:style w:type="character" w:styleId="1238" w:customStyle="1">
    <w:name w:val="未处理的提及"/>
    <w:uiPriority w:val="99"/>
    <w:unhideWhenUsed/>
    <w:rPr>
      <w:color w:val="605e5c"/>
      <w:shd w:val="clear" w:color="auto" w:fill="e1dfdd"/>
    </w:rPr>
  </w:style>
  <w:style w:type="character" w:styleId="1239" w:customStyle="1">
    <w:name w:val="纯文本 字符1"/>
    <w:qFormat/>
    <w:rPr>
      <w:rFonts w:ascii="宋体" w:hAnsi="Courier New"/>
      <w:sz w:val="21"/>
      <w:szCs w:val="21"/>
    </w:rPr>
  </w:style>
  <w:style w:type="character" w:styleId="1240" w:customStyle="1">
    <w:name w:val="正文文本缩进 字符1"/>
    <w:qFormat/>
    <w:rPr>
      <w:rFonts w:ascii="Times New Roman" w:hAnsi="Times New Roman" w:eastAsia="仿宋_GB2312" w:cs="Times New Roman"/>
      <w:sz w:val="28"/>
      <w:szCs w:val="24"/>
    </w:rPr>
  </w:style>
  <w:style w:type="character" w:styleId="1241" w:customStyle="1">
    <w:name w:val="font101"/>
    <w:qFormat/>
    <w:rPr>
      <w:rFonts w:hint="eastAsia" w:ascii="宋体" w:hAnsi="宋体" w:eastAsia="宋体" w:cs="宋体"/>
      <w:color w:val="ff0000"/>
      <w:sz w:val="22"/>
      <w:szCs w:val="22"/>
      <w:u w:val="none"/>
    </w:rPr>
  </w:style>
  <w:style w:type="character" w:styleId="1242" w:customStyle="1">
    <w:name w:val="font01"/>
    <w:qFormat/>
    <w:rPr>
      <w:rFonts w:hint="eastAsia" w:ascii="宋体" w:hAnsi="宋体" w:eastAsia="宋体" w:cs="宋体"/>
      <w:color w:val="000000"/>
      <w:sz w:val="22"/>
      <w:szCs w:val="22"/>
      <w:u w:val="none"/>
    </w:rPr>
  </w:style>
  <w:style w:type="character" w:styleId="1243" w:customStyle="1">
    <w:name w:val="font11"/>
    <w:qFormat/>
    <w:rPr>
      <w:rFonts w:hint="eastAsia" w:ascii="宋体" w:hAnsi="宋体" w:eastAsia="宋体" w:cs="宋体"/>
      <w:b/>
      <w:bCs/>
      <w:color w:val="000000"/>
      <w:sz w:val="22"/>
      <w:szCs w:val="22"/>
      <w:u w:val="none"/>
    </w:rPr>
  </w:style>
  <w:style w:type="character" w:styleId="1244" w:customStyle="1">
    <w:name w:val="font112"/>
    <w:qFormat/>
    <w:rPr>
      <w:rFonts w:ascii="Calibri" w:hAnsi="Calibri" w:cs="Calibri"/>
      <w:color w:val="000000"/>
      <w:sz w:val="22"/>
      <w:szCs w:val="22"/>
      <w:u w:val="none"/>
    </w:rPr>
  </w:style>
  <w:style w:type="character" w:styleId="1245" w:customStyle="1">
    <w:name w:val="font61"/>
    <w:qFormat/>
    <w:rPr>
      <w:rFonts w:hint="eastAsia" w:ascii="宋体" w:hAnsi="宋体" w:eastAsia="宋体" w:cs="宋体"/>
      <w:color w:val="000000"/>
      <w:sz w:val="22"/>
      <w:szCs w:val="22"/>
      <w:u w:val="none"/>
    </w:rPr>
  </w:style>
  <w:style w:type="character" w:styleId="1246" w:customStyle="1">
    <w:name w:val="font121"/>
    <w:qFormat/>
    <w:rPr>
      <w:rFonts w:hint="eastAsia" w:ascii="宋体" w:hAnsi="宋体" w:eastAsia="宋体" w:cs="宋体"/>
      <w:color w:val="ff0000"/>
      <w:sz w:val="22"/>
      <w:szCs w:val="22"/>
      <w:u w:val="none"/>
    </w:rPr>
  </w:style>
  <w:style w:type="character" w:styleId="1247" w:customStyle="1">
    <w:name w:val="font131"/>
    <w:qFormat/>
    <w:rPr>
      <w:rFonts w:hint="default" w:ascii="Calibri" w:hAnsi="Calibri" w:cs="Calibri"/>
      <w:color w:val="000000"/>
      <w:sz w:val="22"/>
      <w:szCs w:val="22"/>
      <w:u w:val="none"/>
    </w:rPr>
  </w:style>
  <w:style w:type="character" w:styleId="1248" w:customStyle="1">
    <w:name w:val="font141"/>
    <w:qFormat/>
    <w:rPr>
      <w:rFonts w:hint="default" w:ascii="Calibri" w:hAnsi="Calibri" w:cs="Calibri"/>
      <w:color w:val="000000"/>
      <w:sz w:val="22"/>
      <w:szCs w:val="22"/>
      <w:u w:val="none"/>
    </w:rPr>
  </w:style>
  <w:style w:type="character" w:styleId="1249" w:customStyle="1">
    <w:name w:val="font51"/>
    <w:qFormat/>
    <w:rPr>
      <w:rFonts w:hint="eastAsia" w:ascii="宋体" w:hAnsi="宋体" w:eastAsia="宋体" w:cs="宋体"/>
      <w:color w:val="000000"/>
      <w:sz w:val="22"/>
      <w:szCs w:val="22"/>
      <w:u w:val="none"/>
    </w:rPr>
  </w:style>
  <w:style w:type="character" w:styleId="1250" w:customStyle="1">
    <w:name w:val="font151"/>
    <w:qFormat/>
    <w:rPr>
      <w:rFonts w:ascii="Microsoft JhengHei" w:hAnsi="Microsoft JhengHei" w:eastAsia="Microsoft JhengHei" w:cs="Microsoft JhengHei"/>
      <w:color w:val="000000"/>
      <w:sz w:val="22"/>
      <w:szCs w:val="22"/>
      <w:u w:val="none"/>
    </w:rPr>
  </w:style>
  <w:style w:type="paragraph" w:styleId="1251" w:customStyle="1">
    <w:name w:val="首行缩进"/>
    <w:basedOn w:val="730"/>
    <w:uiPriority w:val="99"/>
    <w:qFormat/>
    <w:pPr>
      <w:ind w:firstLine="480"/>
      <w:spacing w:line="360" w:lineRule="auto"/>
    </w:pPr>
    <w:rPr>
      <w:rFonts w:eastAsia="微软雅黑"/>
      <w:sz w:val="24"/>
      <w:lang w:val="zh-CN"/>
    </w:rPr>
  </w:style>
  <w:style w:type="character" w:styleId="1252" w:customStyle="1">
    <w:name w:val="NormalCharacter1"/>
    <w:qFormat/>
    <w:rPr>
      <w:sz w:val="21"/>
      <w:szCs w:val="22"/>
      <w:lang w:val="en-US" w:eastAsia="zh-CN" w:bidi="ar-SA"/>
    </w:rPr>
  </w:style>
  <w:style w:type="paragraph" w:styleId="1253" w:customStyle="1">
    <w:name w:val="9-正文"/>
    <w:basedOn w:val="730"/>
    <w:qFormat/>
    <w:pPr>
      <w:ind w:firstLine="480"/>
      <w:spacing w:line="360" w:lineRule="auto"/>
    </w:pPr>
    <w:rPr>
      <w:sz w:val="24"/>
      <w:szCs w:val="24"/>
    </w:rPr>
  </w:style>
  <w:style w:type="paragraph" w:styleId="1254" w:customStyle="1">
    <w:name w:val="9-正文编号"/>
    <w:basedOn w:val="1253"/>
    <w:qFormat/>
    <w:pPr>
      <w:ind w:left="846" w:hanging="422"/>
    </w:pPr>
    <w:rPr>
      <w:rFonts w:ascii="宋体" w:hAnsi="宋体"/>
      <w:szCs w:val="21"/>
    </w:rPr>
  </w:style>
  <w:style w:type="paragraph" w:styleId="1255" w:customStyle="1">
    <w:name w:val="2"/>
    <w:qFormat/>
    <w:pPr>
      <w:spacing w:before="120" w:after="120" w:line="288" w:lineRule="auto"/>
    </w:pPr>
    <w:rPr>
      <w:rFonts w:ascii="Arial" w:hAnsi="Arial" w:eastAsia="等线" w:cs="Arial"/>
      <w:sz w:val="22"/>
      <w:szCs w:val="22"/>
    </w:rPr>
  </w:style>
  <w:style w:type="character" w:styleId="1256" w:customStyle="1">
    <w:name w:val="NormalCharacter"/>
    <w:qFormat/>
    <w:rPr>
      <w:sz w:val="28"/>
      <w:lang w:val="en-US" w:eastAsia="zh-CN" w:bidi="ar-SA"/>
    </w:rPr>
  </w:style>
  <w:style w:type="paragraph" w:styleId="1257" w:customStyle="1">
    <w:name w:val="BodyTextIndent"/>
    <w:basedOn w:val="730"/>
    <w:qFormat/>
    <w:pPr>
      <w:ind w:firstLine="358"/>
    </w:pPr>
    <w:rPr>
      <w:sz w:val="28"/>
      <w:szCs w:val="24"/>
    </w:rPr>
  </w:style>
  <w:style w:type="paragraph" w:styleId="1258" w:customStyle="1">
    <w:name w:val="正文（公司）"/>
    <w:qFormat/>
    <w:pPr>
      <w:spacing w:line="300" w:lineRule="auto"/>
    </w:pPr>
    <w:rPr>
      <w:sz w:val="24"/>
      <w:szCs w:val="21"/>
    </w:rPr>
  </w:style>
  <w:style w:type="paragraph" w:styleId="1259" w:customStyle="1">
    <w:name w:val="样式 首行缩进:  0 字符"/>
    <w:basedOn w:val="730"/>
    <w:qFormat/>
    <w:pPr>
      <w:spacing w:line="360" w:lineRule="auto"/>
    </w:pPr>
    <w:rPr>
      <w:rFonts w:ascii="Arial" w:hAnsi="Arial" w:cs="宋体"/>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s://www.crcrfsp.com/" TargetMode="External"/><Relationship Id="rId16" Type="http://schemas.openxmlformats.org/officeDocument/2006/relationships/hyperlink" Target="http://www.ccgp-jiangsu.gov.cn/jiangsu/zlxz"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潘瑞进</cp:lastModifiedBy>
  <cp:revision>261</cp:revision>
  <dcterms:created xsi:type="dcterms:W3CDTF">2023-09-14T01:51:00Z</dcterms:created>
  <dcterms:modified xsi:type="dcterms:W3CDTF">2025-11-03T06:34:25Z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2052-10.8.2.7090</vt:lpwstr>
  </property>
  <property fmtid="{D5CDD505-2E9C-101B-9397-08002B2CF9AE}" pid="3" name="ICV">
    <vt:lpwstr>3A3B3E61DA134332802D21EC2AF8B5EB_13</vt:lpwstr>
  </property>
</Properties>
</file>